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60BBB" w14:textId="2EBC55F5" w:rsidR="00030A10" w:rsidRDefault="004C3935">
      <w:pPr>
        <w:pBdr>
          <w:top w:val="nil"/>
          <w:left w:val="nil"/>
          <w:bottom w:val="nil"/>
          <w:right w:val="nil"/>
          <w:between w:val="nil"/>
        </w:pBdr>
        <w:spacing w:before="3960"/>
        <w:jc w:val="center"/>
        <w:rPr>
          <w:rFonts w:ascii="Calibri" w:eastAsia="Calibri" w:hAnsi="Calibri" w:cs="Calibri"/>
          <w:b/>
          <w:color w:val="1F497D"/>
          <w:sz w:val="40"/>
          <w:szCs w:val="40"/>
        </w:rPr>
      </w:pPr>
      <w:r>
        <w:rPr>
          <w:rFonts w:ascii="Calibri" w:eastAsia="Calibri" w:hAnsi="Calibri" w:cs="Calibri"/>
          <w:b/>
          <w:color w:val="1F497D"/>
          <w:sz w:val="40"/>
          <w:szCs w:val="40"/>
        </w:rPr>
        <w:t xml:space="preserve">Final </w:t>
      </w:r>
      <w:r w:rsidR="00556411">
        <w:rPr>
          <w:rFonts w:ascii="Calibri" w:eastAsia="Calibri" w:hAnsi="Calibri" w:cs="Calibri"/>
          <w:b/>
          <w:color w:val="1F497D"/>
          <w:sz w:val="40"/>
          <w:szCs w:val="40"/>
        </w:rPr>
        <w:t xml:space="preserve">Recommendations for Updating </w:t>
      </w:r>
      <w:r w:rsidR="00556411">
        <w:rPr>
          <w:rFonts w:ascii="Calibri" w:eastAsia="Calibri" w:hAnsi="Calibri" w:cs="Calibri"/>
          <w:b/>
          <w:color w:val="1F497D"/>
          <w:sz w:val="40"/>
          <w:szCs w:val="40"/>
        </w:rPr>
        <w:br/>
        <w:t xml:space="preserve">the Quality-Based Reimbursement Program for </w:t>
      </w:r>
      <w:r w:rsidR="00556411">
        <w:rPr>
          <w:rFonts w:ascii="Calibri" w:eastAsia="Calibri" w:hAnsi="Calibri" w:cs="Calibri"/>
          <w:b/>
          <w:color w:val="1F497D"/>
          <w:sz w:val="40"/>
          <w:szCs w:val="40"/>
        </w:rPr>
        <w:br/>
        <w:t xml:space="preserve">Rate Year 2022 </w:t>
      </w:r>
    </w:p>
    <w:p w14:paraId="44FCDAE0" w14:textId="0E11C850" w:rsidR="00030A10" w:rsidRDefault="00215C2A">
      <w:pPr>
        <w:pBdr>
          <w:top w:val="nil"/>
          <w:left w:val="nil"/>
          <w:bottom w:val="nil"/>
          <w:right w:val="nil"/>
          <w:between w:val="nil"/>
        </w:pBdr>
        <w:spacing w:before="1440"/>
        <w:jc w:val="center"/>
        <w:rPr>
          <w:rFonts w:ascii="Calibri" w:eastAsia="Calibri" w:hAnsi="Calibri" w:cs="Calibri"/>
          <w:color w:val="4F81BD"/>
          <w:sz w:val="28"/>
          <w:szCs w:val="28"/>
        </w:rPr>
      </w:pPr>
      <w:r>
        <w:rPr>
          <w:rFonts w:ascii="Calibri" w:eastAsia="Calibri" w:hAnsi="Calibri" w:cs="Calibri"/>
          <w:color w:val="4F81BD"/>
          <w:sz w:val="28"/>
          <w:szCs w:val="28"/>
        </w:rPr>
        <w:t>Dece</w:t>
      </w:r>
      <w:r w:rsidR="00A9462A">
        <w:rPr>
          <w:rFonts w:ascii="Calibri" w:eastAsia="Calibri" w:hAnsi="Calibri" w:cs="Calibri"/>
          <w:color w:val="4F81BD"/>
          <w:sz w:val="28"/>
          <w:szCs w:val="28"/>
        </w:rPr>
        <w:t>m</w:t>
      </w:r>
      <w:r>
        <w:rPr>
          <w:rFonts w:ascii="Calibri" w:eastAsia="Calibri" w:hAnsi="Calibri" w:cs="Calibri"/>
          <w:color w:val="4F81BD"/>
          <w:sz w:val="28"/>
          <w:szCs w:val="28"/>
        </w:rPr>
        <w:t>ber 11</w:t>
      </w:r>
      <w:r w:rsidR="00556411">
        <w:rPr>
          <w:rFonts w:ascii="Calibri" w:eastAsia="Calibri" w:hAnsi="Calibri" w:cs="Calibri"/>
          <w:color w:val="4F81BD"/>
          <w:sz w:val="28"/>
          <w:szCs w:val="28"/>
        </w:rPr>
        <w:t>, 2019</w:t>
      </w:r>
    </w:p>
    <w:p w14:paraId="3365AA54" w14:textId="77777777" w:rsidR="00030A10" w:rsidRDefault="00556411">
      <w:pPr>
        <w:pBdr>
          <w:top w:val="nil"/>
          <w:left w:val="nil"/>
          <w:bottom w:val="nil"/>
          <w:right w:val="nil"/>
          <w:between w:val="nil"/>
        </w:pBdr>
        <w:spacing w:before="1320" w:after="0"/>
        <w:jc w:val="center"/>
        <w:rPr>
          <w:rFonts w:ascii="Calibri" w:eastAsia="Calibri" w:hAnsi="Calibri" w:cs="Calibri"/>
          <w:color w:val="4F81BC"/>
          <w:sz w:val="28"/>
          <w:szCs w:val="28"/>
        </w:rPr>
      </w:pPr>
      <w:r>
        <w:rPr>
          <w:rFonts w:ascii="Calibri" w:eastAsia="Calibri" w:hAnsi="Calibri" w:cs="Calibri"/>
          <w:color w:val="4F81BC"/>
          <w:sz w:val="28"/>
          <w:szCs w:val="28"/>
        </w:rPr>
        <w:t>Health Services Cost Review Commission</w:t>
      </w:r>
    </w:p>
    <w:p w14:paraId="5E442205" w14:textId="77777777" w:rsidR="00030A10" w:rsidRDefault="00556411">
      <w:pPr>
        <w:pBdr>
          <w:top w:val="nil"/>
          <w:left w:val="nil"/>
          <w:bottom w:val="nil"/>
          <w:right w:val="nil"/>
          <w:between w:val="nil"/>
        </w:pBdr>
        <w:spacing w:before="0" w:after="0"/>
        <w:jc w:val="center"/>
        <w:rPr>
          <w:rFonts w:ascii="Calibri" w:eastAsia="Calibri" w:hAnsi="Calibri" w:cs="Calibri"/>
          <w:color w:val="4F81BC"/>
          <w:sz w:val="28"/>
          <w:szCs w:val="28"/>
        </w:rPr>
      </w:pPr>
      <w:r>
        <w:rPr>
          <w:rFonts w:ascii="Calibri" w:eastAsia="Calibri" w:hAnsi="Calibri" w:cs="Calibri"/>
          <w:color w:val="4F81BC"/>
          <w:sz w:val="28"/>
          <w:szCs w:val="28"/>
        </w:rPr>
        <w:t>4160 Patterson Avenue</w:t>
      </w:r>
    </w:p>
    <w:p w14:paraId="76D9FAEC" w14:textId="77777777" w:rsidR="00030A10" w:rsidRDefault="00556411">
      <w:pPr>
        <w:pBdr>
          <w:top w:val="nil"/>
          <w:left w:val="nil"/>
          <w:bottom w:val="nil"/>
          <w:right w:val="nil"/>
          <w:between w:val="nil"/>
        </w:pBdr>
        <w:spacing w:before="0" w:after="0"/>
        <w:jc w:val="center"/>
        <w:rPr>
          <w:rFonts w:ascii="Calibri" w:eastAsia="Calibri" w:hAnsi="Calibri" w:cs="Calibri"/>
          <w:color w:val="4F81BC"/>
          <w:sz w:val="28"/>
          <w:szCs w:val="28"/>
        </w:rPr>
      </w:pPr>
      <w:r>
        <w:rPr>
          <w:rFonts w:ascii="Calibri" w:eastAsia="Calibri" w:hAnsi="Calibri" w:cs="Calibri"/>
          <w:color w:val="4F81BC"/>
          <w:sz w:val="28"/>
          <w:szCs w:val="28"/>
        </w:rPr>
        <w:t>Baltimore, Maryland 21215</w:t>
      </w:r>
    </w:p>
    <w:p w14:paraId="237C1929" w14:textId="77777777" w:rsidR="00030A10" w:rsidRDefault="00556411">
      <w:pPr>
        <w:pBdr>
          <w:top w:val="nil"/>
          <w:left w:val="nil"/>
          <w:bottom w:val="nil"/>
          <w:right w:val="nil"/>
          <w:between w:val="nil"/>
        </w:pBdr>
        <w:spacing w:before="0" w:after="0"/>
        <w:jc w:val="center"/>
        <w:rPr>
          <w:rFonts w:ascii="Calibri" w:eastAsia="Calibri" w:hAnsi="Calibri" w:cs="Calibri"/>
          <w:color w:val="4F81BC"/>
          <w:sz w:val="28"/>
          <w:szCs w:val="28"/>
        </w:rPr>
      </w:pPr>
      <w:r>
        <w:rPr>
          <w:rFonts w:ascii="Calibri" w:eastAsia="Calibri" w:hAnsi="Calibri" w:cs="Calibri"/>
          <w:color w:val="4F81BC"/>
          <w:sz w:val="28"/>
          <w:szCs w:val="28"/>
        </w:rPr>
        <w:t>(410) 764-2605</w:t>
      </w:r>
    </w:p>
    <w:p w14:paraId="6ADE033F" w14:textId="77777777" w:rsidR="00030A10" w:rsidRDefault="00556411">
      <w:pPr>
        <w:pBdr>
          <w:top w:val="nil"/>
          <w:left w:val="nil"/>
          <w:bottom w:val="nil"/>
          <w:right w:val="nil"/>
          <w:between w:val="nil"/>
        </w:pBdr>
        <w:spacing w:before="0" w:after="0"/>
        <w:jc w:val="center"/>
        <w:rPr>
          <w:rFonts w:ascii="Calibri" w:eastAsia="Calibri" w:hAnsi="Calibri" w:cs="Calibri"/>
          <w:color w:val="4F81BC"/>
          <w:sz w:val="28"/>
          <w:szCs w:val="28"/>
        </w:rPr>
      </w:pPr>
      <w:r>
        <w:rPr>
          <w:rFonts w:ascii="Calibri" w:eastAsia="Calibri" w:hAnsi="Calibri" w:cs="Calibri"/>
          <w:color w:val="4F81BC"/>
          <w:sz w:val="28"/>
          <w:szCs w:val="28"/>
        </w:rPr>
        <w:t>FAX: (410) 358-6217</w:t>
      </w:r>
    </w:p>
    <w:p w14:paraId="622F816B" w14:textId="77777777" w:rsidR="00030A10" w:rsidRDefault="00556411">
      <w:pPr>
        <w:tabs>
          <w:tab w:val="left" w:pos="3644"/>
        </w:tabs>
        <w:spacing w:before="0"/>
        <w:rPr>
          <w:rFonts w:ascii="Calibri" w:eastAsia="Calibri" w:hAnsi="Calibri" w:cs="Calibri"/>
          <w:color w:val="4F81BC"/>
          <w:sz w:val="22"/>
          <w:szCs w:val="22"/>
        </w:rPr>
      </w:pPr>
      <w:r>
        <w:rPr>
          <w:rFonts w:ascii="Calibri" w:eastAsia="Calibri" w:hAnsi="Calibri" w:cs="Calibri"/>
          <w:color w:val="4F81BC"/>
          <w:sz w:val="22"/>
          <w:szCs w:val="22"/>
        </w:rPr>
        <w:tab/>
      </w:r>
    </w:p>
    <w:p w14:paraId="5384D7B0" w14:textId="77777777" w:rsidR="00030A10" w:rsidRDefault="00030A10"/>
    <w:p w14:paraId="2A535168" w14:textId="5DCC4B07" w:rsidR="00030A10" w:rsidRDefault="00556411">
      <w:pPr>
        <w:rPr>
          <w:rFonts w:ascii="Candara" w:eastAsia="Candara" w:hAnsi="Candara" w:cs="Candara"/>
        </w:rPr>
        <w:sectPr w:rsidR="00030A10">
          <w:headerReference w:type="default" r:id="rId8"/>
          <w:footerReference w:type="default" r:id="rId9"/>
          <w:headerReference w:type="first" r:id="rId10"/>
          <w:footerReference w:type="first" r:id="rId11"/>
          <w:pgSz w:w="12240" w:h="15840"/>
          <w:pgMar w:top="1440" w:right="1440" w:bottom="1440" w:left="1440" w:header="720" w:footer="720" w:gutter="0"/>
          <w:pgNumType w:start="2"/>
          <w:cols w:space="720" w:equalWidth="0">
            <w:col w:w="9360"/>
          </w:cols>
          <w:titlePg/>
        </w:sectPr>
      </w:pPr>
      <w:r>
        <w:t xml:space="preserve">This document contains the </w:t>
      </w:r>
      <w:r w:rsidR="004C3935">
        <w:t>final</w:t>
      </w:r>
      <w:r>
        <w:t xml:space="preserve"> staff recommendations for updating the Quality Based Reimbursement Program for RY 2022</w:t>
      </w:r>
      <w:r w:rsidR="004C3935">
        <w:t>.</w:t>
      </w:r>
    </w:p>
    <w:p w14:paraId="5966CDC9" w14:textId="77777777" w:rsidR="00030A10" w:rsidRDefault="00556411">
      <w:pPr>
        <w:keepNext/>
        <w:keepLines/>
        <w:pBdr>
          <w:top w:val="nil"/>
          <w:left w:val="nil"/>
          <w:bottom w:val="nil"/>
          <w:right w:val="nil"/>
          <w:between w:val="nil"/>
        </w:pBdr>
        <w:spacing w:after="0" w:line="259" w:lineRule="auto"/>
        <w:rPr>
          <w:rFonts w:ascii="Cambria" w:eastAsia="Cambria" w:hAnsi="Cambria" w:cs="Cambria"/>
          <w:color w:val="365F91"/>
          <w:sz w:val="32"/>
          <w:szCs w:val="32"/>
        </w:rPr>
      </w:pPr>
      <w:r>
        <w:rPr>
          <w:rFonts w:ascii="Cambria" w:eastAsia="Cambria" w:hAnsi="Cambria" w:cs="Cambria"/>
          <w:color w:val="365F91"/>
          <w:sz w:val="32"/>
          <w:szCs w:val="32"/>
        </w:rPr>
        <w:lastRenderedPageBreak/>
        <w:t>Table of Contents</w:t>
      </w:r>
    </w:p>
    <w:sdt>
      <w:sdtPr>
        <w:rPr>
          <w:rFonts w:ascii="Times New Roman" w:eastAsia="Times New Roman" w:hAnsi="Times New Roman" w:cs="Times New Roman"/>
          <w:color w:val="auto"/>
          <w:sz w:val="24"/>
          <w:szCs w:val="24"/>
        </w:rPr>
        <w:id w:val="307286873"/>
        <w:docPartObj>
          <w:docPartGallery w:val="Table of Contents"/>
          <w:docPartUnique/>
        </w:docPartObj>
      </w:sdtPr>
      <w:sdtEndPr>
        <w:rPr>
          <w:b/>
          <w:bCs/>
          <w:noProof/>
        </w:rPr>
      </w:sdtEndPr>
      <w:sdtContent>
        <w:p w14:paraId="57F16B0A" w14:textId="07F2E626" w:rsidR="007D097E" w:rsidRDefault="007D097E" w:rsidP="007D097E">
          <w:pPr>
            <w:pStyle w:val="TOCHeading"/>
            <w:spacing w:before="120"/>
          </w:pPr>
        </w:p>
        <w:p w14:paraId="6C98C07C" w14:textId="77777777" w:rsidR="00F60C86" w:rsidRDefault="007D097E">
          <w:pPr>
            <w:pStyle w:val="TOC1"/>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26345135" w:history="1">
            <w:r w:rsidR="00F60C86" w:rsidRPr="003F5017">
              <w:rPr>
                <w:rStyle w:val="Hyperlink"/>
                <w:noProof/>
              </w:rPr>
              <w:t>List of Abbreviations</w:t>
            </w:r>
            <w:r w:rsidR="00F60C86">
              <w:rPr>
                <w:noProof/>
                <w:webHidden/>
              </w:rPr>
              <w:tab/>
            </w:r>
            <w:r w:rsidR="00F60C86">
              <w:rPr>
                <w:noProof/>
                <w:webHidden/>
              </w:rPr>
              <w:fldChar w:fldCharType="begin"/>
            </w:r>
            <w:r w:rsidR="00F60C86">
              <w:rPr>
                <w:noProof/>
                <w:webHidden/>
              </w:rPr>
              <w:instrText xml:space="preserve"> PAGEREF _Toc26345135 \h </w:instrText>
            </w:r>
            <w:r w:rsidR="00F60C86">
              <w:rPr>
                <w:noProof/>
                <w:webHidden/>
              </w:rPr>
            </w:r>
            <w:r w:rsidR="00F60C86">
              <w:rPr>
                <w:noProof/>
                <w:webHidden/>
              </w:rPr>
              <w:fldChar w:fldCharType="separate"/>
            </w:r>
            <w:r w:rsidR="00F60C86">
              <w:rPr>
                <w:noProof/>
                <w:webHidden/>
              </w:rPr>
              <w:t>3</w:t>
            </w:r>
            <w:r w:rsidR="00F60C86">
              <w:rPr>
                <w:noProof/>
                <w:webHidden/>
              </w:rPr>
              <w:fldChar w:fldCharType="end"/>
            </w:r>
          </w:hyperlink>
        </w:p>
        <w:p w14:paraId="3B1D4763" w14:textId="77777777" w:rsidR="00F60C86" w:rsidRDefault="005F72FD">
          <w:pPr>
            <w:pStyle w:val="TOC1"/>
            <w:rPr>
              <w:rFonts w:asciiTheme="minorHAnsi" w:eastAsiaTheme="minorEastAsia" w:hAnsiTheme="minorHAnsi" w:cstheme="minorBidi"/>
              <w:noProof/>
              <w:sz w:val="22"/>
              <w:szCs w:val="22"/>
            </w:rPr>
          </w:pPr>
          <w:hyperlink w:anchor="_Toc26345136" w:history="1">
            <w:r w:rsidR="00F60C86" w:rsidRPr="003F5017">
              <w:rPr>
                <w:rStyle w:val="Hyperlink"/>
                <w:noProof/>
              </w:rPr>
              <w:t>Executive Summary</w:t>
            </w:r>
            <w:r w:rsidR="00F60C86">
              <w:rPr>
                <w:noProof/>
                <w:webHidden/>
              </w:rPr>
              <w:tab/>
            </w:r>
            <w:r w:rsidR="00F60C86">
              <w:rPr>
                <w:noProof/>
                <w:webHidden/>
              </w:rPr>
              <w:fldChar w:fldCharType="begin"/>
            </w:r>
            <w:r w:rsidR="00F60C86">
              <w:rPr>
                <w:noProof/>
                <w:webHidden/>
              </w:rPr>
              <w:instrText xml:space="preserve"> PAGEREF _Toc26345136 \h </w:instrText>
            </w:r>
            <w:r w:rsidR="00F60C86">
              <w:rPr>
                <w:noProof/>
                <w:webHidden/>
              </w:rPr>
            </w:r>
            <w:r w:rsidR="00F60C86">
              <w:rPr>
                <w:noProof/>
                <w:webHidden/>
              </w:rPr>
              <w:fldChar w:fldCharType="separate"/>
            </w:r>
            <w:r w:rsidR="00F60C86">
              <w:rPr>
                <w:noProof/>
                <w:webHidden/>
              </w:rPr>
              <w:t>4</w:t>
            </w:r>
            <w:r w:rsidR="00F60C86">
              <w:rPr>
                <w:noProof/>
                <w:webHidden/>
              </w:rPr>
              <w:fldChar w:fldCharType="end"/>
            </w:r>
          </w:hyperlink>
        </w:p>
        <w:p w14:paraId="6D4881FF" w14:textId="77777777" w:rsidR="00F60C86" w:rsidRDefault="005F72FD">
          <w:pPr>
            <w:pStyle w:val="TOC2"/>
            <w:tabs>
              <w:tab w:val="right" w:leader="dot" w:pos="9350"/>
            </w:tabs>
            <w:rPr>
              <w:rFonts w:asciiTheme="minorHAnsi" w:eastAsiaTheme="minorEastAsia" w:hAnsiTheme="minorHAnsi" w:cstheme="minorBidi"/>
              <w:noProof/>
              <w:sz w:val="22"/>
              <w:szCs w:val="22"/>
            </w:rPr>
          </w:pPr>
          <w:hyperlink w:anchor="_Toc26345137" w:history="1">
            <w:r w:rsidR="00F60C86" w:rsidRPr="003F5017">
              <w:rPr>
                <w:rStyle w:val="Hyperlink"/>
                <w:noProof/>
              </w:rPr>
              <w:t>Final Recommendations for RY 2022 QBR Program</w:t>
            </w:r>
            <w:r w:rsidR="00F60C86">
              <w:rPr>
                <w:noProof/>
                <w:webHidden/>
              </w:rPr>
              <w:tab/>
            </w:r>
            <w:r w:rsidR="00F60C86">
              <w:rPr>
                <w:noProof/>
                <w:webHidden/>
              </w:rPr>
              <w:fldChar w:fldCharType="begin"/>
            </w:r>
            <w:r w:rsidR="00F60C86">
              <w:rPr>
                <w:noProof/>
                <w:webHidden/>
              </w:rPr>
              <w:instrText xml:space="preserve"> PAGEREF _Toc26345137 \h </w:instrText>
            </w:r>
            <w:r w:rsidR="00F60C86">
              <w:rPr>
                <w:noProof/>
                <w:webHidden/>
              </w:rPr>
            </w:r>
            <w:r w:rsidR="00F60C86">
              <w:rPr>
                <w:noProof/>
                <w:webHidden/>
              </w:rPr>
              <w:fldChar w:fldCharType="separate"/>
            </w:r>
            <w:r w:rsidR="00F60C86">
              <w:rPr>
                <w:noProof/>
                <w:webHidden/>
              </w:rPr>
              <w:t>4</w:t>
            </w:r>
            <w:r w:rsidR="00F60C86">
              <w:rPr>
                <w:noProof/>
                <w:webHidden/>
              </w:rPr>
              <w:fldChar w:fldCharType="end"/>
            </w:r>
          </w:hyperlink>
        </w:p>
        <w:p w14:paraId="11AFF618" w14:textId="77777777" w:rsidR="00F60C86" w:rsidRDefault="005F72FD">
          <w:pPr>
            <w:pStyle w:val="TOC1"/>
            <w:rPr>
              <w:rFonts w:asciiTheme="minorHAnsi" w:eastAsiaTheme="minorEastAsia" w:hAnsiTheme="minorHAnsi" w:cstheme="minorBidi"/>
              <w:noProof/>
              <w:sz w:val="22"/>
              <w:szCs w:val="22"/>
            </w:rPr>
          </w:pPr>
          <w:hyperlink w:anchor="_Toc26345138" w:history="1">
            <w:r w:rsidR="00F60C86" w:rsidRPr="003F5017">
              <w:rPr>
                <w:rStyle w:val="Hyperlink"/>
                <w:noProof/>
              </w:rPr>
              <w:t>Introduction</w:t>
            </w:r>
            <w:r w:rsidR="00F60C86">
              <w:rPr>
                <w:noProof/>
                <w:webHidden/>
              </w:rPr>
              <w:tab/>
            </w:r>
            <w:r w:rsidR="00F60C86">
              <w:rPr>
                <w:noProof/>
                <w:webHidden/>
              </w:rPr>
              <w:fldChar w:fldCharType="begin"/>
            </w:r>
            <w:r w:rsidR="00F60C86">
              <w:rPr>
                <w:noProof/>
                <w:webHidden/>
              </w:rPr>
              <w:instrText xml:space="preserve"> PAGEREF _Toc26345138 \h </w:instrText>
            </w:r>
            <w:r w:rsidR="00F60C86">
              <w:rPr>
                <w:noProof/>
                <w:webHidden/>
              </w:rPr>
            </w:r>
            <w:r w:rsidR="00F60C86">
              <w:rPr>
                <w:noProof/>
                <w:webHidden/>
              </w:rPr>
              <w:fldChar w:fldCharType="separate"/>
            </w:r>
            <w:r w:rsidR="00F60C86">
              <w:rPr>
                <w:noProof/>
                <w:webHidden/>
              </w:rPr>
              <w:t>5</w:t>
            </w:r>
            <w:r w:rsidR="00F60C86">
              <w:rPr>
                <w:noProof/>
                <w:webHidden/>
              </w:rPr>
              <w:fldChar w:fldCharType="end"/>
            </w:r>
          </w:hyperlink>
        </w:p>
        <w:p w14:paraId="2680C445" w14:textId="77777777" w:rsidR="00F60C86" w:rsidRDefault="005F72FD">
          <w:pPr>
            <w:pStyle w:val="TOC1"/>
            <w:rPr>
              <w:rFonts w:asciiTheme="minorHAnsi" w:eastAsiaTheme="minorEastAsia" w:hAnsiTheme="minorHAnsi" w:cstheme="minorBidi"/>
              <w:noProof/>
              <w:sz w:val="22"/>
              <w:szCs w:val="22"/>
            </w:rPr>
          </w:pPr>
          <w:hyperlink w:anchor="_Toc26345139" w:history="1">
            <w:r w:rsidR="00F60C86" w:rsidRPr="003F5017">
              <w:rPr>
                <w:rStyle w:val="Hyperlink"/>
                <w:noProof/>
              </w:rPr>
              <w:t>Background</w:t>
            </w:r>
            <w:r w:rsidR="00F60C86">
              <w:rPr>
                <w:noProof/>
                <w:webHidden/>
              </w:rPr>
              <w:tab/>
            </w:r>
            <w:r w:rsidR="00F60C86">
              <w:rPr>
                <w:noProof/>
                <w:webHidden/>
              </w:rPr>
              <w:fldChar w:fldCharType="begin"/>
            </w:r>
            <w:r w:rsidR="00F60C86">
              <w:rPr>
                <w:noProof/>
                <w:webHidden/>
              </w:rPr>
              <w:instrText xml:space="preserve"> PAGEREF _Toc26345139 \h </w:instrText>
            </w:r>
            <w:r w:rsidR="00F60C86">
              <w:rPr>
                <w:noProof/>
                <w:webHidden/>
              </w:rPr>
            </w:r>
            <w:r w:rsidR="00F60C86">
              <w:rPr>
                <w:noProof/>
                <w:webHidden/>
              </w:rPr>
              <w:fldChar w:fldCharType="separate"/>
            </w:r>
            <w:r w:rsidR="00F60C86">
              <w:rPr>
                <w:noProof/>
                <w:webHidden/>
              </w:rPr>
              <w:t>6</w:t>
            </w:r>
            <w:r w:rsidR="00F60C86">
              <w:rPr>
                <w:noProof/>
                <w:webHidden/>
              </w:rPr>
              <w:fldChar w:fldCharType="end"/>
            </w:r>
          </w:hyperlink>
        </w:p>
        <w:p w14:paraId="34F664D5" w14:textId="77777777" w:rsidR="00F60C86" w:rsidRDefault="005F72FD">
          <w:pPr>
            <w:pStyle w:val="TOC1"/>
            <w:rPr>
              <w:rFonts w:asciiTheme="minorHAnsi" w:eastAsiaTheme="minorEastAsia" w:hAnsiTheme="minorHAnsi" w:cstheme="minorBidi"/>
              <w:noProof/>
              <w:sz w:val="22"/>
              <w:szCs w:val="22"/>
            </w:rPr>
          </w:pPr>
          <w:hyperlink w:anchor="_Toc26345140" w:history="1">
            <w:r w:rsidR="00F60C86" w:rsidRPr="003F5017">
              <w:rPr>
                <w:rStyle w:val="Hyperlink"/>
                <w:noProof/>
              </w:rPr>
              <w:t>Assessment</w:t>
            </w:r>
            <w:r w:rsidR="00F60C86">
              <w:rPr>
                <w:noProof/>
                <w:webHidden/>
              </w:rPr>
              <w:tab/>
            </w:r>
            <w:r w:rsidR="00F60C86">
              <w:rPr>
                <w:noProof/>
                <w:webHidden/>
              </w:rPr>
              <w:fldChar w:fldCharType="begin"/>
            </w:r>
            <w:r w:rsidR="00F60C86">
              <w:rPr>
                <w:noProof/>
                <w:webHidden/>
              </w:rPr>
              <w:instrText xml:space="preserve"> PAGEREF _Toc26345140 \h </w:instrText>
            </w:r>
            <w:r w:rsidR="00F60C86">
              <w:rPr>
                <w:noProof/>
                <w:webHidden/>
              </w:rPr>
            </w:r>
            <w:r w:rsidR="00F60C86">
              <w:rPr>
                <w:noProof/>
                <w:webHidden/>
              </w:rPr>
              <w:fldChar w:fldCharType="separate"/>
            </w:r>
            <w:r w:rsidR="00F60C86">
              <w:rPr>
                <w:noProof/>
                <w:webHidden/>
              </w:rPr>
              <w:t>8</w:t>
            </w:r>
            <w:r w:rsidR="00F60C86">
              <w:rPr>
                <w:noProof/>
                <w:webHidden/>
              </w:rPr>
              <w:fldChar w:fldCharType="end"/>
            </w:r>
          </w:hyperlink>
        </w:p>
        <w:p w14:paraId="6B870A15" w14:textId="77777777" w:rsidR="00F60C86" w:rsidRDefault="005F72FD">
          <w:pPr>
            <w:pStyle w:val="TOC2"/>
            <w:tabs>
              <w:tab w:val="right" w:leader="dot" w:pos="9350"/>
            </w:tabs>
            <w:rPr>
              <w:rFonts w:asciiTheme="minorHAnsi" w:eastAsiaTheme="minorEastAsia" w:hAnsiTheme="minorHAnsi" w:cstheme="minorBidi"/>
              <w:noProof/>
              <w:sz w:val="22"/>
              <w:szCs w:val="22"/>
            </w:rPr>
          </w:pPr>
          <w:hyperlink w:anchor="_Toc26345141" w:history="1">
            <w:r w:rsidR="00F60C86" w:rsidRPr="003F5017">
              <w:rPr>
                <w:rStyle w:val="Hyperlink"/>
                <w:noProof/>
              </w:rPr>
              <w:t>Maryland Performance by QBR Domain</w:t>
            </w:r>
            <w:r w:rsidR="00F60C86">
              <w:rPr>
                <w:noProof/>
                <w:webHidden/>
              </w:rPr>
              <w:tab/>
            </w:r>
            <w:r w:rsidR="00F60C86">
              <w:rPr>
                <w:noProof/>
                <w:webHidden/>
              </w:rPr>
              <w:fldChar w:fldCharType="begin"/>
            </w:r>
            <w:r w:rsidR="00F60C86">
              <w:rPr>
                <w:noProof/>
                <w:webHidden/>
              </w:rPr>
              <w:instrText xml:space="preserve"> PAGEREF _Toc26345141 \h </w:instrText>
            </w:r>
            <w:r w:rsidR="00F60C86">
              <w:rPr>
                <w:noProof/>
                <w:webHidden/>
              </w:rPr>
            </w:r>
            <w:r w:rsidR="00F60C86">
              <w:rPr>
                <w:noProof/>
                <w:webHidden/>
              </w:rPr>
              <w:fldChar w:fldCharType="separate"/>
            </w:r>
            <w:r w:rsidR="00F60C86">
              <w:rPr>
                <w:noProof/>
                <w:webHidden/>
              </w:rPr>
              <w:t>9</w:t>
            </w:r>
            <w:r w:rsidR="00F60C86">
              <w:rPr>
                <w:noProof/>
                <w:webHidden/>
              </w:rPr>
              <w:fldChar w:fldCharType="end"/>
            </w:r>
          </w:hyperlink>
        </w:p>
        <w:p w14:paraId="369AA524" w14:textId="77777777" w:rsidR="00F60C86" w:rsidRDefault="005F72FD">
          <w:pPr>
            <w:pStyle w:val="TOC3"/>
            <w:tabs>
              <w:tab w:val="right" w:leader="dot" w:pos="9350"/>
            </w:tabs>
            <w:rPr>
              <w:rFonts w:asciiTheme="minorHAnsi" w:eastAsiaTheme="minorEastAsia" w:hAnsiTheme="minorHAnsi" w:cstheme="minorBidi"/>
              <w:noProof/>
              <w:sz w:val="22"/>
              <w:szCs w:val="22"/>
            </w:rPr>
          </w:pPr>
          <w:hyperlink w:anchor="_Toc26345142" w:history="1">
            <w:r w:rsidR="00F60C86" w:rsidRPr="003F5017">
              <w:rPr>
                <w:rStyle w:val="Hyperlink"/>
                <w:noProof/>
              </w:rPr>
              <w:t>Person and Community Engagement Domain</w:t>
            </w:r>
            <w:r w:rsidR="00F60C86">
              <w:rPr>
                <w:noProof/>
                <w:webHidden/>
              </w:rPr>
              <w:tab/>
            </w:r>
            <w:r w:rsidR="00F60C86">
              <w:rPr>
                <w:noProof/>
                <w:webHidden/>
              </w:rPr>
              <w:fldChar w:fldCharType="begin"/>
            </w:r>
            <w:r w:rsidR="00F60C86">
              <w:rPr>
                <w:noProof/>
                <w:webHidden/>
              </w:rPr>
              <w:instrText xml:space="preserve"> PAGEREF _Toc26345142 \h </w:instrText>
            </w:r>
            <w:r w:rsidR="00F60C86">
              <w:rPr>
                <w:noProof/>
                <w:webHidden/>
              </w:rPr>
            </w:r>
            <w:r w:rsidR="00F60C86">
              <w:rPr>
                <w:noProof/>
                <w:webHidden/>
              </w:rPr>
              <w:fldChar w:fldCharType="separate"/>
            </w:r>
            <w:r w:rsidR="00F60C86">
              <w:rPr>
                <w:noProof/>
                <w:webHidden/>
              </w:rPr>
              <w:t>9</w:t>
            </w:r>
            <w:r w:rsidR="00F60C86">
              <w:rPr>
                <w:noProof/>
                <w:webHidden/>
              </w:rPr>
              <w:fldChar w:fldCharType="end"/>
            </w:r>
          </w:hyperlink>
        </w:p>
        <w:p w14:paraId="65BE23ED" w14:textId="77777777" w:rsidR="00F60C86" w:rsidRDefault="005F72FD">
          <w:pPr>
            <w:pStyle w:val="TOC3"/>
            <w:tabs>
              <w:tab w:val="right" w:leader="dot" w:pos="9350"/>
            </w:tabs>
            <w:rPr>
              <w:rFonts w:asciiTheme="minorHAnsi" w:eastAsiaTheme="minorEastAsia" w:hAnsiTheme="minorHAnsi" w:cstheme="minorBidi"/>
              <w:noProof/>
              <w:sz w:val="22"/>
              <w:szCs w:val="22"/>
            </w:rPr>
          </w:pPr>
          <w:hyperlink w:anchor="_Toc26345143" w:history="1">
            <w:r w:rsidR="00F60C86" w:rsidRPr="003F5017">
              <w:rPr>
                <w:rStyle w:val="Hyperlink"/>
                <w:noProof/>
              </w:rPr>
              <w:t>Safety Domain</w:t>
            </w:r>
            <w:r w:rsidR="00F60C86">
              <w:rPr>
                <w:noProof/>
                <w:webHidden/>
              </w:rPr>
              <w:tab/>
            </w:r>
            <w:r w:rsidR="00F60C86">
              <w:rPr>
                <w:noProof/>
                <w:webHidden/>
              </w:rPr>
              <w:fldChar w:fldCharType="begin"/>
            </w:r>
            <w:r w:rsidR="00F60C86">
              <w:rPr>
                <w:noProof/>
                <w:webHidden/>
              </w:rPr>
              <w:instrText xml:space="preserve"> PAGEREF _Toc26345143 \h </w:instrText>
            </w:r>
            <w:r w:rsidR="00F60C86">
              <w:rPr>
                <w:noProof/>
                <w:webHidden/>
              </w:rPr>
            </w:r>
            <w:r w:rsidR="00F60C86">
              <w:rPr>
                <w:noProof/>
                <w:webHidden/>
              </w:rPr>
              <w:fldChar w:fldCharType="separate"/>
            </w:r>
            <w:r w:rsidR="00F60C86">
              <w:rPr>
                <w:noProof/>
                <w:webHidden/>
              </w:rPr>
              <w:t>14</w:t>
            </w:r>
            <w:r w:rsidR="00F60C86">
              <w:rPr>
                <w:noProof/>
                <w:webHidden/>
              </w:rPr>
              <w:fldChar w:fldCharType="end"/>
            </w:r>
          </w:hyperlink>
        </w:p>
        <w:p w14:paraId="4A7530BC" w14:textId="77777777" w:rsidR="00F60C86" w:rsidRDefault="005F72FD">
          <w:pPr>
            <w:pStyle w:val="TOC3"/>
            <w:tabs>
              <w:tab w:val="right" w:leader="dot" w:pos="9350"/>
            </w:tabs>
            <w:rPr>
              <w:rFonts w:asciiTheme="minorHAnsi" w:eastAsiaTheme="minorEastAsia" w:hAnsiTheme="minorHAnsi" w:cstheme="minorBidi"/>
              <w:noProof/>
              <w:sz w:val="22"/>
              <w:szCs w:val="22"/>
            </w:rPr>
          </w:pPr>
          <w:hyperlink w:anchor="_Toc26345144" w:history="1">
            <w:r w:rsidR="00F60C86" w:rsidRPr="003F5017">
              <w:rPr>
                <w:rStyle w:val="Hyperlink"/>
                <w:noProof/>
              </w:rPr>
              <w:t>Clinical Care Domain</w:t>
            </w:r>
            <w:r w:rsidR="00F60C86">
              <w:rPr>
                <w:noProof/>
                <w:webHidden/>
              </w:rPr>
              <w:tab/>
            </w:r>
            <w:r w:rsidR="00F60C86">
              <w:rPr>
                <w:noProof/>
                <w:webHidden/>
              </w:rPr>
              <w:fldChar w:fldCharType="begin"/>
            </w:r>
            <w:r w:rsidR="00F60C86">
              <w:rPr>
                <w:noProof/>
                <w:webHidden/>
              </w:rPr>
              <w:instrText xml:space="preserve"> PAGEREF _Toc26345144 \h </w:instrText>
            </w:r>
            <w:r w:rsidR="00F60C86">
              <w:rPr>
                <w:noProof/>
                <w:webHidden/>
              </w:rPr>
            </w:r>
            <w:r w:rsidR="00F60C86">
              <w:rPr>
                <w:noProof/>
                <w:webHidden/>
              </w:rPr>
              <w:fldChar w:fldCharType="separate"/>
            </w:r>
            <w:r w:rsidR="00F60C86">
              <w:rPr>
                <w:noProof/>
                <w:webHidden/>
              </w:rPr>
              <w:t>15</w:t>
            </w:r>
            <w:r w:rsidR="00F60C86">
              <w:rPr>
                <w:noProof/>
                <w:webHidden/>
              </w:rPr>
              <w:fldChar w:fldCharType="end"/>
            </w:r>
          </w:hyperlink>
        </w:p>
        <w:p w14:paraId="0CDB7CE2" w14:textId="77777777" w:rsidR="00F60C86" w:rsidRDefault="005F72FD">
          <w:pPr>
            <w:pStyle w:val="TOC2"/>
            <w:tabs>
              <w:tab w:val="right" w:leader="dot" w:pos="9350"/>
            </w:tabs>
            <w:rPr>
              <w:rFonts w:asciiTheme="minorHAnsi" w:eastAsiaTheme="minorEastAsia" w:hAnsiTheme="minorHAnsi" w:cstheme="minorBidi"/>
              <w:noProof/>
              <w:sz w:val="22"/>
              <w:szCs w:val="22"/>
            </w:rPr>
          </w:pPr>
          <w:hyperlink w:anchor="_Toc26345145" w:history="1">
            <w:r w:rsidR="00F60C86" w:rsidRPr="003F5017">
              <w:rPr>
                <w:rStyle w:val="Hyperlink"/>
                <w:noProof/>
              </w:rPr>
              <w:t>Revenue Adjustment Modeling</w:t>
            </w:r>
            <w:r w:rsidR="00F60C86">
              <w:rPr>
                <w:noProof/>
                <w:webHidden/>
              </w:rPr>
              <w:tab/>
            </w:r>
            <w:r w:rsidR="00F60C86">
              <w:rPr>
                <w:noProof/>
                <w:webHidden/>
              </w:rPr>
              <w:fldChar w:fldCharType="begin"/>
            </w:r>
            <w:r w:rsidR="00F60C86">
              <w:rPr>
                <w:noProof/>
                <w:webHidden/>
              </w:rPr>
              <w:instrText xml:space="preserve"> PAGEREF _Toc26345145 \h </w:instrText>
            </w:r>
            <w:r w:rsidR="00F60C86">
              <w:rPr>
                <w:noProof/>
                <w:webHidden/>
              </w:rPr>
            </w:r>
            <w:r w:rsidR="00F60C86">
              <w:rPr>
                <w:noProof/>
                <w:webHidden/>
              </w:rPr>
              <w:fldChar w:fldCharType="separate"/>
            </w:r>
            <w:r w:rsidR="00F60C86">
              <w:rPr>
                <w:noProof/>
                <w:webHidden/>
              </w:rPr>
              <w:t>17</w:t>
            </w:r>
            <w:r w:rsidR="00F60C86">
              <w:rPr>
                <w:noProof/>
                <w:webHidden/>
              </w:rPr>
              <w:fldChar w:fldCharType="end"/>
            </w:r>
          </w:hyperlink>
        </w:p>
        <w:p w14:paraId="5B52A2BF" w14:textId="77777777" w:rsidR="00F60C86" w:rsidRDefault="005F72FD">
          <w:pPr>
            <w:pStyle w:val="TOC1"/>
            <w:rPr>
              <w:rFonts w:asciiTheme="minorHAnsi" w:eastAsiaTheme="minorEastAsia" w:hAnsiTheme="minorHAnsi" w:cstheme="minorBidi"/>
              <w:noProof/>
              <w:sz w:val="22"/>
              <w:szCs w:val="22"/>
            </w:rPr>
          </w:pPr>
          <w:hyperlink w:anchor="_Toc26345146" w:history="1">
            <w:r w:rsidR="00F60C86" w:rsidRPr="003F5017">
              <w:rPr>
                <w:rStyle w:val="Hyperlink"/>
                <w:noProof/>
              </w:rPr>
              <w:t>QBR Future Updates</w:t>
            </w:r>
            <w:r w:rsidR="00F60C86">
              <w:rPr>
                <w:noProof/>
                <w:webHidden/>
              </w:rPr>
              <w:tab/>
            </w:r>
            <w:r w:rsidR="00F60C86">
              <w:rPr>
                <w:noProof/>
                <w:webHidden/>
              </w:rPr>
              <w:fldChar w:fldCharType="begin"/>
            </w:r>
            <w:r w:rsidR="00F60C86">
              <w:rPr>
                <w:noProof/>
                <w:webHidden/>
              </w:rPr>
              <w:instrText xml:space="preserve"> PAGEREF _Toc26345146 \h </w:instrText>
            </w:r>
            <w:r w:rsidR="00F60C86">
              <w:rPr>
                <w:noProof/>
                <w:webHidden/>
              </w:rPr>
            </w:r>
            <w:r w:rsidR="00F60C86">
              <w:rPr>
                <w:noProof/>
                <w:webHidden/>
              </w:rPr>
              <w:fldChar w:fldCharType="separate"/>
            </w:r>
            <w:r w:rsidR="00F60C86">
              <w:rPr>
                <w:noProof/>
                <w:webHidden/>
              </w:rPr>
              <w:t>18</w:t>
            </w:r>
            <w:r w:rsidR="00F60C86">
              <w:rPr>
                <w:noProof/>
                <w:webHidden/>
              </w:rPr>
              <w:fldChar w:fldCharType="end"/>
            </w:r>
          </w:hyperlink>
        </w:p>
        <w:p w14:paraId="0C3A5F84" w14:textId="77777777" w:rsidR="00F60C86" w:rsidRDefault="005F72FD">
          <w:pPr>
            <w:pStyle w:val="TOC1"/>
            <w:rPr>
              <w:rFonts w:asciiTheme="minorHAnsi" w:eastAsiaTheme="minorEastAsia" w:hAnsiTheme="minorHAnsi" w:cstheme="minorBidi"/>
              <w:noProof/>
              <w:sz w:val="22"/>
              <w:szCs w:val="22"/>
            </w:rPr>
          </w:pPr>
          <w:hyperlink w:anchor="_Toc26345147" w:history="1">
            <w:r w:rsidR="00F60C86" w:rsidRPr="003F5017">
              <w:rPr>
                <w:rStyle w:val="Hyperlink"/>
                <w:noProof/>
              </w:rPr>
              <w:t>Stakeholder Feedback and Staff Responses</w:t>
            </w:r>
            <w:r w:rsidR="00F60C86">
              <w:rPr>
                <w:noProof/>
                <w:webHidden/>
              </w:rPr>
              <w:tab/>
            </w:r>
            <w:r w:rsidR="00F60C86">
              <w:rPr>
                <w:noProof/>
                <w:webHidden/>
              </w:rPr>
              <w:fldChar w:fldCharType="begin"/>
            </w:r>
            <w:r w:rsidR="00F60C86">
              <w:rPr>
                <w:noProof/>
                <w:webHidden/>
              </w:rPr>
              <w:instrText xml:space="preserve"> PAGEREF _Toc26345147 \h </w:instrText>
            </w:r>
            <w:r w:rsidR="00F60C86">
              <w:rPr>
                <w:noProof/>
                <w:webHidden/>
              </w:rPr>
            </w:r>
            <w:r w:rsidR="00F60C86">
              <w:rPr>
                <w:noProof/>
                <w:webHidden/>
              </w:rPr>
              <w:fldChar w:fldCharType="separate"/>
            </w:r>
            <w:r w:rsidR="00F60C86">
              <w:rPr>
                <w:noProof/>
                <w:webHidden/>
              </w:rPr>
              <w:t>19</w:t>
            </w:r>
            <w:r w:rsidR="00F60C86">
              <w:rPr>
                <w:noProof/>
                <w:webHidden/>
              </w:rPr>
              <w:fldChar w:fldCharType="end"/>
            </w:r>
          </w:hyperlink>
        </w:p>
        <w:p w14:paraId="366F1489" w14:textId="77777777" w:rsidR="00F60C86" w:rsidRDefault="005F72FD">
          <w:pPr>
            <w:pStyle w:val="TOC1"/>
            <w:rPr>
              <w:rFonts w:asciiTheme="minorHAnsi" w:eastAsiaTheme="minorEastAsia" w:hAnsiTheme="minorHAnsi" w:cstheme="minorBidi"/>
              <w:noProof/>
              <w:sz w:val="22"/>
              <w:szCs w:val="22"/>
            </w:rPr>
          </w:pPr>
          <w:hyperlink w:anchor="_Toc26345148" w:history="1">
            <w:r w:rsidR="00F60C86" w:rsidRPr="003F5017">
              <w:rPr>
                <w:rStyle w:val="Hyperlink"/>
                <w:noProof/>
              </w:rPr>
              <w:t>Final Recommendations For RY 2022 QBR Program</w:t>
            </w:r>
            <w:r w:rsidR="00F60C86">
              <w:rPr>
                <w:noProof/>
                <w:webHidden/>
              </w:rPr>
              <w:tab/>
            </w:r>
            <w:r w:rsidR="00F60C86">
              <w:rPr>
                <w:noProof/>
                <w:webHidden/>
              </w:rPr>
              <w:fldChar w:fldCharType="begin"/>
            </w:r>
            <w:r w:rsidR="00F60C86">
              <w:rPr>
                <w:noProof/>
                <w:webHidden/>
              </w:rPr>
              <w:instrText xml:space="preserve"> PAGEREF _Toc26345148 \h </w:instrText>
            </w:r>
            <w:r w:rsidR="00F60C86">
              <w:rPr>
                <w:noProof/>
                <w:webHidden/>
              </w:rPr>
            </w:r>
            <w:r w:rsidR="00F60C86">
              <w:rPr>
                <w:noProof/>
                <w:webHidden/>
              </w:rPr>
              <w:fldChar w:fldCharType="separate"/>
            </w:r>
            <w:r w:rsidR="00F60C86">
              <w:rPr>
                <w:noProof/>
                <w:webHidden/>
              </w:rPr>
              <w:t>22</w:t>
            </w:r>
            <w:r w:rsidR="00F60C86">
              <w:rPr>
                <w:noProof/>
                <w:webHidden/>
              </w:rPr>
              <w:fldChar w:fldCharType="end"/>
            </w:r>
          </w:hyperlink>
        </w:p>
        <w:p w14:paraId="5E738D7B" w14:textId="77777777" w:rsidR="00F60C86" w:rsidRDefault="005F72FD">
          <w:pPr>
            <w:pStyle w:val="TOC1"/>
            <w:rPr>
              <w:rFonts w:asciiTheme="minorHAnsi" w:eastAsiaTheme="minorEastAsia" w:hAnsiTheme="minorHAnsi" w:cstheme="minorBidi"/>
              <w:noProof/>
              <w:sz w:val="22"/>
              <w:szCs w:val="22"/>
            </w:rPr>
          </w:pPr>
          <w:hyperlink w:anchor="_Toc26345149" w:history="1">
            <w:r w:rsidR="00F60C86" w:rsidRPr="003F5017">
              <w:rPr>
                <w:rStyle w:val="Hyperlink"/>
                <w:noProof/>
              </w:rPr>
              <w:t>Appendix I. CMS Notification of Quality Program Exemptions, FFY 2020</w:t>
            </w:r>
            <w:r w:rsidR="00F60C86">
              <w:rPr>
                <w:noProof/>
                <w:webHidden/>
              </w:rPr>
              <w:tab/>
            </w:r>
            <w:r w:rsidR="00F60C86">
              <w:rPr>
                <w:noProof/>
                <w:webHidden/>
              </w:rPr>
              <w:fldChar w:fldCharType="begin"/>
            </w:r>
            <w:r w:rsidR="00F60C86">
              <w:rPr>
                <w:noProof/>
                <w:webHidden/>
              </w:rPr>
              <w:instrText xml:space="preserve"> PAGEREF _Toc26345149 \h </w:instrText>
            </w:r>
            <w:r w:rsidR="00F60C86">
              <w:rPr>
                <w:noProof/>
                <w:webHidden/>
              </w:rPr>
            </w:r>
            <w:r w:rsidR="00F60C86">
              <w:rPr>
                <w:noProof/>
                <w:webHidden/>
              </w:rPr>
              <w:fldChar w:fldCharType="separate"/>
            </w:r>
            <w:r w:rsidR="00F60C86">
              <w:rPr>
                <w:noProof/>
                <w:webHidden/>
              </w:rPr>
              <w:t>23</w:t>
            </w:r>
            <w:r w:rsidR="00F60C86">
              <w:rPr>
                <w:noProof/>
                <w:webHidden/>
              </w:rPr>
              <w:fldChar w:fldCharType="end"/>
            </w:r>
          </w:hyperlink>
        </w:p>
        <w:p w14:paraId="12078CFD" w14:textId="77777777" w:rsidR="00F60C86" w:rsidRDefault="005F72FD">
          <w:pPr>
            <w:pStyle w:val="TOC1"/>
            <w:rPr>
              <w:rFonts w:asciiTheme="minorHAnsi" w:eastAsiaTheme="minorEastAsia" w:hAnsiTheme="minorHAnsi" w:cstheme="minorBidi"/>
              <w:noProof/>
              <w:sz w:val="22"/>
              <w:szCs w:val="22"/>
            </w:rPr>
          </w:pPr>
          <w:hyperlink w:anchor="_Toc26345150" w:history="1">
            <w:r w:rsidR="00F60C86" w:rsidRPr="003F5017">
              <w:rPr>
                <w:rStyle w:val="Hyperlink"/>
                <w:noProof/>
              </w:rPr>
              <w:t>Appendix II. HSCRC QBR Program Background, Detailed Overview</w:t>
            </w:r>
            <w:r w:rsidR="00F60C86">
              <w:rPr>
                <w:noProof/>
                <w:webHidden/>
              </w:rPr>
              <w:tab/>
            </w:r>
            <w:r w:rsidR="00F60C86">
              <w:rPr>
                <w:noProof/>
                <w:webHidden/>
              </w:rPr>
              <w:fldChar w:fldCharType="begin"/>
            </w:r>
            <w:r w:rsidR="00F60C86">
              <w:rPr>
                <w:noProof/>
                <w:webHidden/>
              </w:rPr>
              <w:instrText xml:space="preserve"> PAGEREF _Toc26345150 \h </w:instrText>
            </w:r>
            <w:r w:rsidR="00F60C86">
              <w:rPr>
                <w:noProof/>
                <w:webHidden/>
              </w:rPr>
            </w:r>
            <w:r w:rsidR="00F60C86">
              <w:rPr>
                <w:noProof/>
                <w:webHidden/>
              </w:rPr>
              <w:fldChar w:fldCharType="separate"/>
            </w:r>
            <w:r w:rsidR="00F60C86">
              <w:rPr>
                <w:noProof/>
                <w:webHidden/>
              </w:rPr>
              <w:t>26</w:t>
            </w:r>
            <w:r w:rsidR="00F60C86">
              <w:rPr>
                <w:noProof/>
                <w:webHidden/>
              </w:rPr>
              <w:fldChar w:fldCharType="end"/>
            </w:r>
          </w:hyperlink>
        </w:p>
        <w:p w14:paraId="46B88F91" w14:textId="77777777" w:rsidR="00F60C86" w:rsidRDefault="005F72FD">
          <w:pPr>
            <w:pStyle w:val="TOC2"/>
            <w:tabs>
              <w:tab w:val="right" w:leader="dot" w:pos="9350"/>
            </w:tabs>
            <w:rPr>
              <w:rFonts w:asciiTheme="minorHAnsi" w:eastAsiaTheme="minorEastAsia" w:hAnsiTheme="minorHAnsi" w:cstheme="minorBidi"/>
              <w:noProof/>
              <w:sz w:val="22"/>
              <w:szCs w:val="22"/>
            </w:rPr>
          </w:pPr>
          <w:hyperlink w:anchor="_Toc26345151" w:history="1">
            <w:r w:rsidR="00F60C86" w:rsidRPr="003F5017">
              <w:rPr>
                <w:rStyle w:val="Hyperlink"/>
                <w:noProof/>
              </w:rPr>
              <w:t>Domain Weights and Revenue At-Risk</w:t>
            </w:r>
            <w:r w:rsidR="00F60C86">
              <w:rPr>
                <w:noProof/>
                <w:webHidden/>
              </w:rPr>
              <w:tab/>
            </w:r>
            <w:r w:rsidR="00F60C86">
              <w:rPr>
                <w:noProof/>
                <w:webHidden/>
              </w:rPr>
              <w:fldChar w:fldCharType="begin"/>
            </w:r>
            <w:r w:rsidR="00F60C86">
              <w:rPr>
                <w:noProof/>
                <w:webHidden/>
              </w:rPr>
              <w:instrText xml:space="preserve"> PAGEREF _Toc26345151 \h </w:instrText>
            </w:r>
            <w:r w:rsidR="00F60C86">
              <w:rPr>
                <w:noProof/>
                <w:webHidden/>
              </w:rPr>
            </w:r>
            <w:r w:rsidR="00F60C86">
              <w:rPr>
                <w:noProof/>
                <w:webHidden/>
              </w:rPr>
              <w:fldChar w:fldCharType="separate"/>
            </w:r>
            <w:r w:rsidR="00F60C86">
              <w:rPr>
                <w:noProof/>
                <w:webHidden/>
              </w:rPr>
              <w:t>27</w:t>
            </w:r>
            <w:r w:rsidR="00F60C86">
              <w:rPr>
                <w:noProof/>
                <w:webHidden/>
              </w:rPr>
              <w:fldChar w:fldCharType="end"/>
            </w:r>
          </w:hyperlink>
        </w:p>
        <w:p w14:paraId="3168765C" w14:textId="77777777" w:rsidR="00F60C86" w:rsidRDefault="005F72FD">
          <w:pPr>
            <w:pStyle w:val="TOC2"/>
            <w:tabs>
              <w:tab w:val="right" w:leader="dot" w:pos="9350"/>
            </w:tabs>
            <w:rPr>
              <w:rFonts w:asciiTheme="minorHAnsi" w:eastAsiaTheme="minorEastAsia" w:hAnsiTheme="minorHAnsi" w:cstheme="minorBidi"/>
              <w:noProof/>
              <w:sz w:val="22"/>
              <w:szCs w:val="22"/>
            </w:rPr>
          </w:pPr>
          <w:hyperlink w:anchor="_Toc26345152" w:history="1">
            <w:r w:rsidR="00F60C86" w:rsidRPr="003F5017">
              <w:rPr>
                <w:rStyle w:val="Hyperlink"/>
                <w:noProof/>
              </w:rPr>
              <w:t>QBR Score Calculation</w:t>
            </w:r>
            <w:r w:rsidR="00F60C86">
              <w:rPr>
                <w:noProof/>
                <w:webHidden/>
              </w:rPr>
              <w:tab/>
            </w:r>
            <w:r w:rsidR="00F60C86">
              <w:rPr>
                <w:noProof/>
                <w:webHidden/>
              </w:rPr>
              <w:fldChar w:fldCharType="begin"/>
            </w:r>
            <w:r w:rsidR="00F60C86">
              <w:rPr>
                <w:noProof/>
                <w:webHidden/>
              </w:rPr>
              <w:instrText xml:space="preserve"> PAGEREF _Toc26345152 \h </w:instrText>
            </w:r>
            <w:r w:rsidR="00F60C86">
              <w:rPr>
                <w:noProof/>
                <w:webHidden/>
              </w:rPr>
            </w:r>
            <w:r w:rsidR="00F60C86">
              <w:rPr>
                <w:noProof/>
                <w:webHidden/>
              </w:rPr>
              <w:fldChar w:fldCharType="separate"/>
            </w:r>
            <w:r w:rsidR="00F60C86">
              <w:rPr>
                <w:noProof/>
                <w:webHidden/>
              </w:rPr>
              <w:t>28</w:t>
            </w:r>
            <w:r w:rsidR="00F60C86">
              <w:rPr>
                <w:noProof/>
                <w:webHidden/>
              </w:rPr>
              <w:fldChar w:fldCharType="end"/>
            </w:r>
          </w:hyperlink>
        </w:p>
        <w:p w14:paraId="0F91623E" w14:textId="77777777" w:rsidR="00F60C86" w:rsidRDefault="005F72FD">
          <w:pPr>
            <w:pStyle w:val="TOC2"/>
            <w:tabs>
              <w:tab w:val="right" w:leader="dot" w:pos="9350"/>
            </w:tabs>
            <w:rPr>
              <w:rFonts w:asciiTheme="minorHAnsi" w:eastAsiaTheme="minorEastAsia" w:hAnsiTheme="minorHAnsi" w:cstheme="minorBidi"/>
              <w:noProof/>
              <w:sz w:val="22"/>
              <w:szCs w:val="22"/>
            </w:rPr>
          </w:pPr>
          <w:hyperlink w:anchor="_Toc26345153" w:history="1">
            <w:r w:rsidR="00F60C86" w:rsidRPr="003F5017">
              <w:rPr>
                <w:rStyle w:val="Hyperlink"/>
                <w:noProof/>
              </w:rPr>
              <w:t>Proposed RY 2022 QBR Program Updates</w:t>
            </w:r>
            <w:r w:rsidR="00F60C86">
              <w:rPr>
                <w:noProof/>
                <w:webHidden/>
              </w:rPr>
              <w:tab/>
            </w:r>
            <w:r w:rsidR="00F60C86">
              <w:rPr>
                <w:noProof/>
                <w:webHidden/>
              </w:rPr>
              <w:fldChar w:fldCharType="begin"/>
            </w:r>
            <w:r w:rsidR="00F60C86">
              <w:rPr>
                <w:noProof/>
                <w:webHidden/>
              </w:rPr>
              <w:instrText xml:space="preserve"> PAGEREF _Toc26345153 \h </w:instrText>
            </w:r>
            <w:r w:rsidR="00F60C86">
              <w:rPr>
                <w:noProof/>
                <w:webHidden/>
              </w:rPr>
            </w:r>
            <w:r w:rsidR="00F60C86">
              <w:rPr>
                <w:noProof/>
                <w:webHidden/>
              </w:rPr>
              <w:fldChar w:fldCharType="separate"/>
            </w:r>
            <w:r w:rsidR="00F60C86">
              <w:rPr>
                <w:noProof/>
                <w:webHidden/>
              </w:rPr>
              <w:t>29</w:t>
            </w:r>
            <w:r w:rsidR="00F60C86">
              <w:rPr>
                <w:noProof/>
                <w:webHidden/>
              </w:rPr>
              <w:fldChar w:fldCharType="end"/>
            </w:r>
          </w:hyperlink>
        </w:p>
        <w:p w14:paraId="5772AE8D" w14:textId="77777777" w:rsidR="00F60C86" w:rsidRDefault="005F72FD">
          <w:pPr>
            <w:pStyle w:val="TOC1"/>
            <w:rPr>
              <w:rFonts w:asciiTheme="minorHAnsi" w:eastAsiaTheme="minorEastAsia" w:hAnsiTheme="minorHAnsi" w:cstheme="minorBidi"/>
              <w:noProof/>
              <w:sz w:val="22"/>
              <w:szCs w:val="22"/>
            </w:rPr>
          </w:pPr>
          <w:hyperlink w:anchor="_Toc26345154" w:history="1">
            <w:r w:rsidR="00F60C86" w:rsidRPr="003F5017">
              <w:rPr>
                <w:rStyle w:val="Hyperlink"/>
                <w:noProof/>
              </w:rPr>
              <w:t>Appendix III. RY 2020 HCAHPS Measure Results by Hospital</w:t>
            </w:r>
            <w:r w:rsidR="00F60C86">
              <w:rPr>
                <w:noProof/>
                <w:webHidden/>
              </w:rPr>
              <w:tab/>
            </w:r>
            <w:r w:rsidR="00F60C86">
              <w:rPr>
                <w:noProof/>
                <w:webHidden/>
              </w:rPr>
              <w:fldChar w:fldCharType="begin"/>
            </w:r>
            <w:r w:rsidR="00F60C86">
              <w:rPr>
                <w:noProof/>
                <w:webHidden/>
              </w:rPr>
              <w:instrText xml:space="preserve"> PAGEREF _Toc26345154 \h </w:instrText>
            </w:r>
            <w:r w:rsidR="00F60C86">
              <w:rPr>
                <w:noProof/>
                <w:webHidden/>
              </w:rPr>
            </w:r>
            <w:r w:rsidR="00F60C86">
              <w:rPr>
                <w:noProof/>
                <w:webHidden/>
              </w:rPr>
              <w:fldChar w:fldCharType="separate"/>
            </w:r>
            <w:r w:rsidR="00F60C86">
              <w:rPr>
                <w:noProof/>
                <w:webHidden/>
              </w:rPr>
              <w:t>32</w:t>
            </w:r>
            <w:r w:rsidR="00F60C86">
              <w:rPr>
                <w:noProof/>
                <w:webHidden/>
              </w:rPr>
              <w:fldChar w:fldCharType="end"/>
            </w:r>
          </w:hyperlink>
        </w:p>
        <w:p w14:paraId="659F42BE" w14:textId="77777777" w:rsidR="00F60C86" w:rsidRDefault="005F72FD">
          <w:pPr>
            <w:pStyle w:val="TOC1"/>
            <w:rPr>
              <w:rFonts w:asciiTheme="minorHAnsi" w:eastAsiaTheme="minorEastAsia" w:hAnsiTheme="minorHAnsi" w:cstheme="minorBidi"/>
              <w:noProof/>
              <w:sz w:val="22"/>
              <w:szCs w:val="22"/>
            </w:rPr>
          </w:pPr>
          <w:hyperlink w:anchor="_Toc26345155" w:history="1">
            <w:r w:rsidR="00F60C86" w:rsidRPr="003F5017">
              <w:rPr>
                <w:rStyle w:val="Hyperlink"/>
                <w:noProof/>
              </w:rPr>
              <w:t>Appendix IV. RY 2020 QBR Performance Standards</w:t>
            </w:r>
            <w:r w:rsidR="00F60C86">
              <w:rPr>
                <w:noProof/>
                <w:webHidden/>
              </w:rPr>
              <w:tab/>
            </w:r>
            <w:r w:rsidR="00F60C86">
              <w:rPr>
                <w:noProof/>
                <w:webHidden/>
              </w:rPr>
              <w:fldChar w:fldCharType="begin"/>
            </w:r>
            <w:r w:rsidR="00F60C86">
              <w:rPr>
                <w:noProof/>
                <w:webHidden/>
              </w:rPr>
              <w:instrText xml:space="preserve"> PAGEREF _Toc26345155 \h </w:instrText>
            </w:r>
            <w:r w:rsidR="00F60C86">
              <w:rPr>
                <w:noProof/>
                <w:webHidden/>
              </w:rPr>
            </w:r>
            <w:r w:rsidR="00F60C86">
              <w:rPr>
                <w:noProof/>
                <w:webHidden/>
              </w:rPr>
              <w:fldChar w:fldCharType="separate"/>
            </w:r>
            <w:r w:rsidR="00F60C86">
              <w:rPr>
                <w:noProof/>
                <w:webHidden/>
              </w:rPr>
              <w:t>33</w:t>
            </w:r>
            <w:r w:rsidR="00F60C86">
              <w:rPr>
                <w:noProof/>
                <w:webHidden/>
              </w:rPr>
              <w:fldChar w:fldCharType="end"/>
            </w:r>
          </w:hyperlink>
        </w:p>
        <w:p w14:paraId="29D065F7" w14:textId="77777777" w:rsidR="00F60C86" w:rsidRDefault="005F72FD">
          <w:pPr>
            <w:pStyle w:val="TOC1"/>
            <w:rPr>
              <w:rFonts w:asciiTheme="minorHAnsi" w:eastAsiaTheme="minorEastAsia" w:hAnsiTheme="minorHAnsi" w:cstheme="minorBidi"/>
              <w:noProof/>
              <w:sz w:val="22"/>
              <w:szCs w:val="22"/>
            </w:rPr>
          </w:pPr>
          <w:hyperlink w:anchor="_Toc26345156" w:history="1">
            <w:r w:rsidR="00F60C86" w:rsidRPr="003F5017">
              <w:rPr>
                <w:rStyle w:val="Hyperlink"/>
                <w:noProof/>
              </w:rPr>
              <w:t>Appendix V. Modeling of Scores by Domain: RY 2020 QBR data with RY 2022 Measure Updates</w:t>
            </w:r>
            <w:r w:rsidR="00F60C86">
              <w:rPr>
                <w:noProof/>
                <w:webHidden/>
              </w:rPr>
              <w:tab/>
            </w:r>
            <w:r w:rsidR="00F60C86">
              <w:rPr>
                <w:noProof/>
                <w:webHidden/>
              </w:rPr>
              <w:fldChar w:fldCharType="begin"/>
            </w:r>
            <w:r w:rsidR="00F60C86">
              <w:rPr>
                <w:noProof/>
                <w:webHidden/>
              </w:rPr>
              <w:instrText xml:space="preserve"> PAGEREF _Toc26345156 \h </w:instrText>
            </w:r>
            <w:r w:rsidR="00F60C86">
              <w:rPr>
                <w:noProof/>
                <w:webHidden/>
              </w:rPr>
            </w:r>
            <w:r w:rsidR="00F60C86">
              <w:rPr>
                <w:noProof/>
                <w:webHidden/>
              </w:rPr>
              <w:fldChar w:fldCharType="separate"/>
            </w:r>
            <w:r w:rsidR="00F60C86">
              <w:rPr>
                <w:noProof/>
                <w:webHidden/>
              </w:rPr>
              <w:t>34</w:t>
            </w:r>
            <w:r w:rsidR="00F60C86">
              <w:rPr>
                <w:noProof/>
                <w:webHidden/>
              </w:rPr>
              <w:fldChar w:fldCharType="end"/>
            </w:r>
          </w:hyperlink>
        </w:p>
        <w:p w14:paraId="3AE480A2" w14:textId="77777777" w:rsidR="00F60C86" w:rsidRDefault="005F72FD">
          <w:pPr>
            <w:pStyle w:val="TOC1"/>
            <w:rPr>
              <w:rFonts w:asciiTheme="minorHAnsi" w:eastAsiaTheme="minorEastAsia" w:hAnsiTheme="minorHAnsi" w:cstheme="minorBidi"/>
              <w:noProof/>
              <w:sz w:val="22"/>
              <w:szCs w:val="22"/>
            </w:rPr>
          </w:pPr>
          <w:hyperlink w:anchor="_Toc26345157" w:history="1">
            <w:r w:rsidR="00F60C86" w:rsidRPr="003F5017">
              <w:rPr>
                <w:rStyle w:val="Hyperlink"/>
                <w:noProof/>
              </w:rPr>
              <w:t>Appendix VI. Modeling of QBR Program Revenue Adjustments</w:t>
            </w:r>
            <w:r w:rsidR="00F60C86">
              <w:rPr>
                <w:noProof/>
                <w:webHidden/>
              </w:rPr>
              <w:tab/>
            </w:r>
            <w:r w:rsidR="00F60C86">
              <w:rPr>
                <w:noProof/>
                <w:webHidden/>
              </w:rPr>
              <w:fldChar w:fldCharType="begin"/>
            </w:r>
            <w:r w:rsidR="00F60C86">
              <w:rPr>
                <w:noProof/>
                <w:webHidden/>
              </w:rPr>
              <w:instrText xml:space="preserve"> PAGEREF _Toc26345157 \h </w:instrText>
            </w:r>
            <w:r w:rsidR="00F60C86">
              <w:rPr>
                <w:noProof/>
                <w:webHidden/>
              </w:rPr>
            </w:r>
            <w:r w:rsidR="00F60C86">
              <w:rPr>
                <w:noProof/>
                <w:webHidden/>
              </w:rPr>
              <w:fldChar w:fldCharType="separate"/>
            </w:r>
            <w:r w:rsidR="00F60C86">
              <w:rPr>
                <w:noProof/>
                <w:webHidden/>
              </w:rPr>
              <w:t>36</w:t>
            </w:r>
            <w:r w:rsidR="00F60C86">
              <w:rPr>
                <w:noProof/>
                <w:webHidden/>
              </w:rPr>
              <w:fldChar w:fldCharType="end"/>
            </w:r>
          </w:hyperlink>
        </w:p>
        <w:p w14:paraId="48A8B198" w14:textId="77777777" w:rsidR="007D097E" w:rsidRDefault="007D097E" w:rsidP="007D097E">
          <w:pPr>
            <w:spacing w:before="120" w:after="0"/>
          </w:pPr>
          <w:r>
            <w:rPr>
              <w:b/>
              <w:bCs/>
              <w:noProof/>
            </w:rPr>
            <w:fldChar w:fldCharType="end"/>
          </w:r>
        </w:p>
      </w:sdtContent>
    </w:sdt>
    <w:p w14:paraId="0AB1E4EC" w14:textId="77777777" w:rsidR="00030A10" w:rsidRDefault="00030A10">
      <w:pPr>
        <w:pStyle w:val="Heading1"/>
        <w:rPr>
          <w:b w:val="0"/>
        </w:rPr>
      </w:pPr>
    </w:p>
    <w:p w14:paraId="65A7D6E6" w14:textId="75AAE580" w:rsidR="00030A10" w:rsidRDefault="00556411">
      <w:pPr>
        <w:pStyle w:val="Heading1"/>
      </w:pPr>
      <w:r>
        <w:br w:type="page"/>
      </w:r>
      <w:bookmarkStart w:id="0" w:name="_Toc26345135"/>
      <w:r>
        <w:lastRenderedPageBreak/>
        <w:t>L</w:t>
      </w:r>
      <w:r w:rsidR="007223C8">
        <w:t>ist of Abbreviations</w:t>
      </w:r>
      <w:bookmarkEnd w:id="0"/>
    </w:p>
    <w:p w14:paraId="72EC12FD" w14:textId="77777777" w:rsidR="00030A10" w:rsidRDefault="00556411">
      <w:pPr>
        <w:pBdr>
          <w:top w:val="nil"/>
          <w:left w:val="nil"/>
          <w:bottom w:val="nil"/>
          <w:right w:val="nil"/>
          <w:between w:val="nil"/>
        </w:pBdr>
        <w:spacing w:after="120"/>
        <w:rPr>
          <w:color w:val="000000"/>
        </w:rPr>
      </w:pPr>
      <w:r>
        <w:rPr>
          <w:color w:val="000000"/>
        </w:rPr>
        <w:t xml:space="preserve">CDC </w:t>
      </w:r>
      <w:r>
        <w:rPr>
          <w:color w:val="000000"/>
        </w:rPr>
        <w:tab/>
      </w:r>
      <w:r>
        <w:rPr>
          <w:color w:val="000000"/>
        </w:rPr>
        <w:tab/>
      </w:r>
      <w:r>
        <w:rPr>
          <w:color w:val="000000"/>
        </w:rPr>
        <w:tab/>
        <w:t>Centers for Disease Control &amp; Prevention</w:t>
      </w:r>
    </w:p>
    <w:p w14:paraId="65A16127" w14:textId="77777777" w:rsidR="00030A10" w:rsidRDefault="00556411">
      <w:pPr>
        <w:pBdr>
          <w:top w:val="nil"/>
          <w:left w:val="nil"/>
          <w:bottom w:val="nil"/>
          <w:right w:val="nil"/>
          <w:between w:val="nil"/>
        </w:pBdr>
        <w:spacing w:after="120"/>
        <w:rPr>
          <w:color w:val="000000"/>
        </w:rPr>
      </w:pPr>
      <w:r>
        <w:rPr>
          <w:color w:val="000000"/>
        </w:rPr>
        <w:t>CAUTI</w:t>
      </w:r>
      <w:r>
        <w:rPr>
          <w:color w:val="000000"/>
        </w:rPr>
        <w:tab/>
      </w:r>
      <w:r>
        <w:rPr>
          <w:color w:val="000000"/>
        </w:rPr>
        <w:tab/>
        <w:t>Catheter-associated urinary tract infection</w:t>
      </w:r>
    </w:p>
    <w:p w14:paraId="7B190F13" w14:textId="77777777" w:rsidR="00030A10" w:rsidRDefault="00556411">
      <w:pPr>
        <w:pBdr>
          <w:top w:val="nil"/>
          <w:left w:val="nil"/>
          <w:bottom w:val="nil"/>
          <w:right w:val="nil"/>
          <w:between w:val="nil"/>
        </w:pBdr>
        <w:spacing w:after="120"/>
        <w:rPr>
          <w:color w:val="000000"/>
        </w:rPr>
      </w:pPr>
      <w:r>
        <w:rPr>
          <w:color w:val="000000"/>
        </w:rPr>
        <w:t>CDIFF</w:t>
      </w:r>
      <w:r>
        <w:rPr>
          <w:color w:val="000000"/>
        </w:rPr>
        <w:tab/>
      </w:r>
      <w:r>
        <w:rPr>
          <w:color w:val="000000"/>
        </w:rPr>
        <w:tab/>
      </w:r>
      <w:r>
        <w:rPr>
          <w:color w:val="000000"/>
        </w:rPr>
        <w:tab/>
        <w:t>Clostridium Difficile infection</w:t>
      </w:r>
    </w:p>
    <w:p w14:paraId="0B643A0D" w14:textId="77777777" w:rsidR="00030A10" w:rsidRDefault="00556411">
      <w:pPr>
        <w:pBdr>
          <w:top w:val="nil"/>
          <w:left w:val="nil"/>
          <w:bottom w:val="nil"/>
          <w:right w:val="nil"/>
          <w:between w:val="nil"/>
        </w:pBdr>
        <w:spacing w:after="120"/>
        <w:rPr>
          <w:color w:val="000000"/>
        </w:rPr>
      </w:pPr>
      <w:r>
        <w:rPr>
          <w:color w:val="000000"/>
        </w:rPr>
        <w:t>CLABSI</w:t>
      </w:r>
      <w:r>
        <w:rPr>
          <w:color w:val="000000"/>
        </w:rPr>
        <w:tab/>
      </w:r>
      <w:r>
        <w:rPr>
          <w:color w:val="000000"/>
        </w:rPr>
        <w:tab/>
        <w:t xml:space="preserve">Central </w:t>
      </w:r>
      <w:r>
        <w:t>L</w:t>
      </w:r>
      <w:r>
        <w:rPr>
          <w:color w:val="000000"/>
        </w:rPr>
        <w:t>ine-</w:t>
      </w:r>
      <w:r>
        <w:t>A</w:t>
      </w:r>
      <w:r>
        <w:rPr>
          <w:color w:val="000000"/>
        </w:rPr>
        <w:t xml:space="preserve">ssociated </w:t>
      </w:r>
      <w:r>
        <w:t>B</w:t>
      </w:r>
      <w:r>
        <w:rPr>
          <w:color w:val="000000"/>
        </w:rPr>
        <w:t xml:space="preserve">lood </w:t>
      </w:r>
      <w:r>
        <w:t>S</w:t>
      </w:r>
      <w:r>
        <w:rPr>
          <w:color w:val="000000"/>
        </w:rPr>
        <w:t xml:space="preserve">tream </w:t>
      </w:r>
      <w:r>
        <w:t>I</w:t>
      </w:r>
      <w:r>
        <w:rPr>
          <w:color w:val="000000"/>
        </w:rPr>
        <w:t>nfection</w:t>
      </w:r>
    </w:p>
    <w:p w14:paraId="1F13B8CD" w14:textId="77777777" w:rsidR="00030A10" w:rsidRDefault="00556411">
      <w:pPr>
        <w:pBdr>
          <w:top w:val="nil"/>
          <w:left w:val="nil"/>
          <w:bottom w:val="nil"/>
          <w:right w:val="nil"/>
          <w:between w:val="nil"/>
        </w:pBdr>
        <w:spacing w:after="120"/>
        <w:rPr>
          <w:color w:val="000000"/>
        </w:rPr>
      </w:pPr>
      <w:r>
        <w:rPr>
          <w:color w:val="000000"/>
        </w:rPr>
        <w:t>CMS</w:t>
      </w:r>
      <w:r>
        <w:rPr>
          <w:color w:val="000000"/>
        </w:rPr>
        <w:tab/>
      </w:r>
      <w:r>
        <w:rPr>
          <w:color w:val="000000"/>
        </w:rPr>
        <w:tab/>
      </w:r>
      <w:r>
        <w:rPr>
          <w:color w:val="000000"/>
        </w:rPr>
        <w:tab/>
        <w:t>Centers for Medicare &amp;e Medicaid Services</w:t>
      </w:r>
    </w:p>
    <w:p w14:paraId="52A54D2A" w14:textId="77777777" w:rsidR="00030A10" w:rsidRDefault="00556411">
      <w:pPr>
        <w:pBdr>
          <w:top w:val="nil"/>
          <w:left w:val="nil"/>
          <w:bottom w:val="nil"/>
          <w:right w:val="nil"/>
          <w:between w:val="nil"/>
        </w:pBdr>
        <w:spacing w:after="120"/>
        <w:rPr>
          <w:color w:val="000000"/>
        </w:rPr>
      </w:pPr>
      <w:r>
        <w:rPr>
          <w:color w:val="000000"/>
        </w:rPr>
        <w:t xml:space="preserve">DRG </w:t>
      </w:r>
      <w:r>
        <w:rPr>
          <w:color w:val="000000"/>
        </w:rPr>
        <w:tab/>
      </w:r>
      <w:r>
        <w:rPr>
          <w:color w:val="000000"/>
        </w:rPr>
        <w:tab/>
      </w:r>
      <w:r>
        <w:rPr>
          <w:color w:val="000000"/>
        </w:rPr>
        <w:tab/>
        <w:t>Diagnosis-</w:t>
      </w:r>
      <w:r>
        <w:t>R</w:t>
      </w:r>
      <w:r>
        <w:rPr>
          <w:color w:val="000000"/>
        </w:rPr>
        <w:t xml:space="preserve">elated </w:t>
      </w:r>
      <w:r>
        <w:t>G</w:t>
      </w:r>
      <w:r>
        <w:rPr>
          <w:color w:val="000000"/>
        </w:rPr>
        <w:t>roup</w:t>
      </w:r>
    </w:p>
    <w:p w14:paraId="2A8E230B" w14:textId="77777777" w:rsidR="00030A10" w:rsidRDefault="00556411">
      <w:pPr>
        <w:pBdr>
          <w:top w:val="nil"/>
          <w:left w:val="nil"/>
          <w:bottom w:val="nil"/>
          <w:right w:val="nil"/>
          <w:between w:val="nil"/>
        </w:pBdr>
        <w:spacing w:after="120"/>
        <w:rPr>
          <w:color w:val="000000"/>
        </w:rPr>
      </w:pPr>
      <w:r>
        <w:rPr>
          <w:color w:val="000000"/>
        </w:rPr>
        <w:t>ED</w:t>
      </w:r>
      <w:r>
        <w:rPr>
          <w:color w:val="000000"/>
        </w:rPr>
        <w:tab/>
      </w:r>
      <w:r>
        <w:rPr>
          <w:color w:val="000000"/>
        </w:rPr>
        <w:tab/>
      </w:r>
      <w:r>
        <w:rPr>
          <w:color w:val="000000"/>
        </w:rPr>
        <w:tab/>
        <w:t xml:space="preserve">Emergency </w:t>
      </w:r>
      <w:r>
        <w:t>D</w:t>
      </w:r>
      <w:r>
        <w:rPr>
          <w:color w:val="000000"/>
        </w:rPr>
        <w:t>epartment</w:t>
      </w:r>
    </w:p>
    <w:p w14:paraId="29E32E38" w14:textId="77777777" w:rsidR="00030A10" w:rsidRDefault="00556411">
      <w:pPr>
        <w:pBdr>
          <w:top w:val="nil"/>
          <w:left w:val="nil"/>
          <w:bottom w:val="nil"/>
          <w:right w:val="nil"/>
          <w:between w:val="nil"/>
        </w:pBdr>
        <w:spacing w:after="120"/>
        <w:rPr>
          <w:color w:val="000000"/>
        </w:rPr>
      </w:pPr>
      <w:r>
        <w:rPr>
          <w:color w:val="000000"/>
        </w:rPr>
        <w:t xml:space="preserve">FFY </w:t>
      </w:r>
      <w:r>
        <w:rPr>
          <w:color w:val="000000"/>
        </w:rPr>
        <w:tab/>
      </w:r>
      <w:r>
        <w:rPr>
          <w:color w:val="000000"/>
        </w:rPr>
        <w:tab/>
      </w:r>
      <w:r>
        <w:rPr>
          <w:color w:val="000000"/>
        </w:rPr>
        <w:tab/>
        <w:t xml:space="preserve">Federal </w:t>
      </w:r>
      <w:r>
        <w:t>F</w:t>
      </w:r>
      <w:r>
        <w:rPr>
          <w:color w:val="000000"/>
        </w:rPr>
        <w:t xml:space="preserve">iscal </w:t>
      </w:r>
      <w:r>
        <w:t>Y</w:t>
      </w:r>
      <w:r>
        <w:rPr>
          <w:color w:val="000000"/>
        </w:rPr>
        <w:t>ear</w:t>
      </w:r>
    </w:p>
    <w:p w14:paraId="0B70F04A" w14:textId="77777777" w:rsidR="00030A10" w:rsidRDefault="00556411">
      <w:pPr>
        <w:pBdr>
          <w:top w:val="nil"/>
          <w:left w:val="nil"/>
          <w:bottom w:val="nil"/>
          <w:right w:val="nil"/>
          <w:between w:val="nil"/>
        </w:pBdr>
        <w:spacing w:after="120"/>
        <w:rPr>
          <w:color w:val="000000"/>
        </w:rPr>
      </w:pPr>
      <w:r>
        <w:rPr>
          <w:color w:val="000000"/>
        </w:rPr>
        <w:t>HCAHPS</w:t>
      </w:r>
      <w:r>
        <w:rPr>
          <w:color w:val="000000"/>
        </w:rPr>
        <w:tab/>
      </w:r>
      <w:r>
        <w:rPr>
          <w:color w:val="000000"/>
        </w:rPr>
        <w:tab/>
        <w:t>Hospital Consumer Assessment of Healthcare Providers and Systems</w:t>
      </w:r>
    </w:p>
    <w:p w14:paraId="06BF077A" w14:textId="77777777" w:rsidR="00030A10" w:rsidRDefault="00556411">
      <w:pPr>
        <w:pBdr>
          <w:top w:val="nil"/>
          <w:left w:val="nil"/>
          <w:bottom w:val="nil"/>
          <w:right w:val="nil"/>
          <w:between w:val="nil"/>
        </w:pBdr>
        <w:spacing w:after="120"/>
        <w:rPr>
          <w:color w:val="000000"/>
        </w:rPr>
      </w:pPr>
      <w:r>
        <w:rPr>
          <w:color w:val="000000"/>
        </w:rPr>
        <w:t>HSCRC</w:t>
      </w:r>
      <w:r>
        <w:rPr>
          <w:color w:val="000000"/>
        </w:rPr>
        <w:tab/>
      </w:r>
      <w:r>
        <w:rPr>
          <w:color w:val="000000"/>
        </w:rPr>
        <w:tab/>
        <w:t>Health Services Cost Review Commission</w:t>
      </w:r>
    </w:p>
    <w:p w14:paraId="3247DD64" w14:textId="0B600937" w:rsidR="00F60C86" w:rsidRDefault="00F60C86">
      <w:pPr>
        <w:pBdr>
          <w:top w:val="nil"/>
          <w:left w:val="nil"/>
          <w:bottom w:val="nil"/>
          <w:right w:val="nil"/>
          <w:between w:val="nil"/>
        </w:pBdr>
        <w:spacing w:after="120"/>
        <w:rPr>
          <w:color w:val="000000"/>
        </w:rPr>
      </w:pPr>
      <w:r>
        <w:rPr>
          <w:color w:val="000000"/>
        </w:rPr>
        <w:t>IQR</w:t>
      </w:r>
      <w:r>
        <w:rPr>
          <w:color w:val="000000"/>
        </w:rPr>
        <w:tab/>
      </w:r>
      <w:r>
        <w:rPr>
          <w:color w:val="000000"/>
        </w:rPr>
        <w:tab/>
      </w:r>
      <w:r>
        <w:rPr>
          <w:color w:val="000000"/>
        </w:rPr>
        <w:tab/>
        <w:t>Inpatient Quality Reporting</w:t>
      </w:r>
    </w:p>
    <w:p w14:paraId="698E7676" w14:textId="0A050552" w:rsidR="00030A10" w:rsidRDefault="00556411">
      <w:pPr>
        <w:pBdr>
          <w:top w:val="nil"/>
          <w:left w:val="nil"/>
          <w:bottom w:val="nil"/>
          <w:right w:val="nil"/>
          <w:between w:val="nil"/>
        </w:pBdr>
        <w:spacing w:after="120"/>
        <w:rPr>
          <w:color w:val="000000"/>
        </w:rPr>
      </w:pPr>
      <w:r>
        <w:rPr>
          <w:color w:val="000000"/>
        </w:rPr>
        <w:t>MRSA</w:t>
      </w:r>
      <w:r>
        <w:rPr>
          <w:color w:val="000000"/>
        </w:rPr>
        <w:tab/>
      </w:r>
      <w:r>
        <w:rPr>
          <w:color w:val="000000"/>
        </w:rPr>
        <w:tab/>
      </w:r>
      <w:r>
        <w:rPr>
          <w:color w:val="000000"/>
        </w:rPr>
        <w:tab/>
        <w:t>Methicillin-</w:t>
      </w:r>
      <w:r>
        <w:t>R</w:t>
      </w:r>
      <w:r>
        <w:rPr>
          <w:color w:val="000000"/>
        </w:rPr>
        <w:t xml:space="preserve">esistant </w:t>
      </w:r>
      <w:r>
        <w:t>S</w:t>
      </w:r>
      <w:r>
        <w:rPr>
          <w:color w:val="000000"/>
        </w:rPr>
        <w:t xml:space="preserve">taphylococcus </w:t>
      </w:r>
      <w:r>
        <w:t>A</w:t>
      </w:r>
      <w:r>
        <w:rPr>
          <w:color w:val="000000"/>
        </w:rPr>
        <w:t>ureus</w:t>
      </w:r>
    </w:p>
    <w:p w14:paraId="19636DFA" w14:textId="77777777" w:rsidR="00030A10" w:rsidRDefault="00556411">
      <w:pPr>
        <w:pBdr>
          <w:top w:val="nil"/>
          <w:left w:val="nil"/>
          <w:bottom w:val="nil"/>
          <w:right w:val="nil"/>
          <w:between w:val="nil"/>
        </w:pBdr>
        <w:spacing w:after="120"/>
        <w:rPr>
          <w:color w:val="000000"/>
        </w:rPr>
      </w:pPr>
      <w:r>
        <w:rPr>
          <w:color w:val="000000"/>
        </w:rPr>
        <w:t>NHSN</w:t>
      </w:r>
      <w:r>
        <w:rPr>
          <w:color w:val="000000"/>
        </w:rPr>
        <w:tab/>
      </w:r>
      <w:r>
        <w:rPr>
          <w:color w:val="000000"/>
        </w:rPr>
        <w:tab/>
      </w:r>
      <w:r>
        <w:rPr>
          <w:color w:val="000000"/>
        </w:rPr>
        <w:tab/>
        <w:t>National Health Safety Network</w:t>
      </w:r>
    </w:p>
    <w:p w14:paraId="167ED2E2" w14:textId="77777777" w:rsidR="00030A10" w:rsidRDefault="00556411">
      <w:pPr>
        <w:pBdr>
          <w:top w:val="nil"/>
          <w:left w:val="nil"/>
          <w:bottom w:val="nil"/>
          <w:right w:val="nil"/>
          <w:between w:val="nil"/>
        </w:pBdr>
        <w:spacing w:after="120"/>
        <w:rPr>
          <w:color w:val="000000"/>
        </w:rPr>
      </w:pPr>
      <w:r>
        <w:rPr>
          <w:color w:val="000000"/>
        </w:rPr>
        <w:t>PQI</w:t>
      </w:r>
      <w:r>
        <w:rPr>
          <w:color w:val="000000"/>
        </w:rPr>
        <w:tab/>
      </w:r>
      <w:r>
        <w:rPr>
          <w:color w:val="000000"/>
        </w:rPr>
        <w:tab/>
      </w:r>
      <w:r>
        <w:rPr>
          <w:color w:val="000000"/>
        </w:rPr>
        <w:tab/>
        <w:t xml:space="preserve">Prevention </w:t>
      </w:r>
      <w:r>
        <w:t>Q</w:t>
      </w:r>
      <w:r>
        <w:rPr>
          <w:color w:val="000000"/>
        </w:rPr>
        <w:t xml:space="preserve">uality </w:t>
      </w:r>
      <w:r>
        <w:t>I</w:t>
      </w:r>
      <w:r>
        <w:rPr>
          <w:color w:val="000000"/>
        </w:rPr>
        <w:t>ndicators</w:t>
      </w:r>
    </w:p>
    <w:p w14:paraId="1A6CF162" w14:textId="77777777" w:rsidR="00030A10" w:rsidRDefault="00556411">
      <w:pPr>
        <w:pBdr>
          <w:top w:val="nil"/>
          <w:left w:val="nil"/>
          <w:bottom w:val="nil"/>
          <w:right w:val="nil"/>
          <w:between w:val="nil"/>
        </w:pBdr>
        <w:spacing w:after="120"/>
        <w:rPr>
          <w:color w:val="000000"/>
        </w:rPr>
      </w:pPr>
      <w:r>
        <w:rPr>
          <w:color w:val="000000"/>
        </w:rPr>
        <w:t>QBR</w:t>
      </w:r>
      <w:r>
        <w:rPr>
          <w:color w:val="000000"/>
        </w:rPr>
        <w:tab/>
      </w:r>
      <w:r>
        <w:rPr>
          <w:color w:val="000000"/>
        </w:rPr>
        <w:tab/>
      </w:r>
      <w:r>
        <w:rPr>
          <w:color w:val="000000"/>
        </w:rPr>
        <w:tab/>
        <w:t>Quality-Based Reimbursement</w:t>
      </w:r>
    </w:p>
    <w:p w14:paraId="607508CD" w14:textId="77777777" w:rsidR="00030A10" w:rsidRDefault="00556411">
      <w:pPr>
        <w:pBdr>
          <w:top w:val="nil"/>
          <w:left w:val="nil"/>
          <w:bottom w:val="nil"/>
          <w:right w:val="nil"/>
          <w:between w:val="nil"/>
        </w:pBdr>
        <w:spacing w:after="120"/>
        <w:ind w:left="2160" w:hanging="2160"/>
        <w:rPr>
          <w:color w:val="000000"/>
        </w:rPr>
      </w:pPr>
      <w:r>
        <w:rPr>
          <w:color w:val="000000"/>
        </w:rPr>
        <w:t>RY</w:t>
      </w:r>
      <w:r>
        <w:rPr>
          <w:color w:val="000000"/>
        </w:rPr>
        <w:tab/>
        <w:t>Maryland HSCRC Rate Year (Co</w:t>
      </w:r>
      <w:r>
        <w:t>incides with State Fiscal Year (SFY) July-Jun; signifies the timeframe in which the rewards and/or penalties would be assessed)</w:t>
      </w:r>
    </w:p>
    <w:p w14:paraId="04DF9644" w14:textId="77777777" w:rsidR="00030A10" w:rsidRDefault="00556411">
      <w:pPr>
        <w:pBdr>
          <w:top w:val="nil"/>
          <w:left w:val="nil"/>
          <w:bottom w:val="nil"/>
          <w:right w:val="nil"/>
          <w:between w:val="nil"/>
        </w:pBdr>
        <w:spacing w:after="120"/>
        <w:rPr>
          <w:color w:val="000000"/>
        </w:rPr>
      </w:pPr>
      <w:r>
        <w:rPr>
          <w:color w:val="000000"/>
        </w:rPr>
        <w:t>SIR</w:t>
      </w:r>
      <w:r>
        <w:rPr>
          <w:color w:val="000000"/>
        </w:rPr>
        <w:tab/>
      </w:r>
      <w:r>
        <w:rPr>
          <w:color w:val="000000"/>
        </w:rPr>
        <w:tab/>
      </w:r>
      <w:r>
        <w:rPr>
          <w:color w:val="000000"/>
        </w:rPr>
        <w:tab/>
        <w:t xml:space="preserve">Standardized </w:t>
      </w:r>
      <w:r>
        <w:t>I</w:t>
      </w:r>
      <w:r>
        <w:rPr>
          <w:color w:val="000000"/>
        </w:rPr>
        <w:t xml:space="preserve">nfection </w:t>
      </w:r>
      <w:r>
        <w:t>R</w:t>
      </w:r>
      <w:r>
        <w:rPr>
          <w:color w:val="000000"/>
        </w:rPr>
        <w:t>atio</w:t>
      </w:r>
    </w:p>
    <w:p w14:paraId="10945080" w14:textId="77777777" w:rsidR="00030A10" w:rsidRDefault="00556411">
      <w:pPr>
        <w:pBdr>
          <w:top w:val="nil"/>
          <w:left w:val="nil"/>
          <w:bottom w:val="nil"/>
          <w:right w:val="nil"/>
          <w:between w:val="nil"/>
        </w:pBdr>
        <w:spacing w:after="120"/>
        <w:rPr>
          <w:color w:val="000000"/>
        </w:rPr>
      </w:pPr>
      <w:r>
        <w:rPr>
          <w:color w:val="000000"/>
        </w:rPr>
        <w:t>SSI</w:t>
      </w:r>
      <w:r>
        <w:rPr>
          <w:color w:val="000000"/>
        </w:rPr>
        <w:tab/>
      </w:r>
      <w:r>
        <w:rPr>
          <w:color w:val="000000"/>
        </w:rPr>
        <w:tab/>
      </w:r>
      <w:r>
        <w:rPr>
          <w:color w:val="000000"/>
        </w:rPr>
        <w:tab/>
        <w:t xml:space="preserve">Surgical </w:t>
      </w:r>
      <w:r>
        <w:t>S</w:t>
      </w:r>
      <w:r>
        <w:rPr>
          <w:color w:val="000000"/>
        </w:rPr>
        <w:t xml:space="preserve">ite </w:t>
      </w:r>
      <w:r>
        <w:t>I</w:t>
      </w:r>
      <w:r>
        <w:rPr>
          <w:color w:val="000000"/>
        </w:rPr>
        <w:t>nfection</w:t>
      </w:r>
    </w:p>
    <w:p w14:paraId="24E0EEE8" w14:textId="77777777" w:rsidR="00030A10" w:rsidRDefault="00556411">
      <w:pPr>
        <w:pBdr>
          <w:top w:val="nil"/>
          <w:left w:val="nil"/>
          <w:bottom w:val="nil"/>
          <w:right w:val="nil"/>
          <w:between w:val="nil"/>
        </w:pBdr>
        <w:spacing w:before="0" w:after="0"/>
        <w:rPr>
          <w:color w:val="000000"/>
        </w:rPr>
      </w:pPr>
      <w:r>
        <w:rPr>
          <w:color w:val="000000"/>
        </w:rPr>
        <w:t>THA/TKA</w:t>
      </w:r>
      <w:r>
        <w:rPr>
          <w:color w:val="000000"/>
        </w:rPr>
        <w:tab/>
        <w:t xml:space="preserve"> </w:t>
      </w:r>
      <w:r>
        <w:rPr>
          <w:color w:val="000000"/>
        </w:rPr>
        <w:tab/>
        <w:t xml:space="preserve">Total </w:t>
      </w:r>
      <w:r>
        <w:t>H</w:t>
      </w:r>
      <w:r>
        <w:rPr>
          <w:color w:val="000000"/>
        </w:rPr>
        <w:t xml:space="preserve">ip and </w:t>
      </w:r>
      <w:r>
        <w:t>K</w:t>
      </w:r>
      <w:r>
        <w:rPr>
          <w:color w:val="000000"/>
        </w:rPr>
        <w:t xml:space="preserve">nee </w:t>
      </w:r>
      <w:r>
        <w:t>A</w:t>
      </w:r>
      <w:r>
        <w:rPr>
          <w:color w:val="000000"/>
        </w:rPr>
        <w:t xml:space="preserve">rthroplasty Risk </w:t>
      </w:r>
      <w:r>
        <w:t>S</w:t>
      </w:r>
      <w:r>
        <w:rPr>
          <w:color w:val="000000"/>
        </w:rPr>
        <w:t xml:space="preserve">tandardized </w:t>
      </w:r>
      <w:r>
        <w:t>C</w:t>
      </w:r>
      <w:r>
        <w:rPr>
          <w:color w:val="000000"/>
        </w:rPr>
        <w:t xml:space="preserve">omplication </w:t>
      </w:r>
      <w:r>
        <w:t>R</w:t>
      </w:r>
      <w:r>
        <w:rPr>
          <w:color w:val="000000"/>
        </w:rPr>
        <w:t>ate</w:t>
      </w:r>
    </w:p>
    <w:p w14:paraId="6439FACB" w14:textId="77777777" w:rsidR="00030A10" w:rsidRDefault="00556411">
      <w:pPr>
        <w:pBdr>
          <w:top w:val="nil"/>
          <w:left w:val="nil"/>
          <w:bottom w:val="nil"/>
          <w:right w:val="nil"/>
          <w:between w:val="nil"/>
        </w:pBdr>
        <w:spacing w:after="0"/>
        <w:rPr>
          <w:color w:val="000000"/>
        </w:rPr>
      </w:pPr>
      <w:r>
        <w:rPr>
          <w:color w:val="000000"/>
        </w:rPr>
        <w:t>VBP</w:t>
      </w:r>
      <w:r>
        <w:rPr>
          <w:color w:val="000000"/>
        </w:rPr>
        <w:tab/>
      </w:r>
      <w:r>
        <w:rPr>
          <w:color w:val="000000"/>
        </w:rPr>
        <w:tab/>
      </w:r>
      <w:r>
        <w:rPr>
          <w:color w:val="000000"/>
        </w:rPr>
        <w:tab/>
        <w:t xml:space="preserve">Value-Based Purchasing    </w:t>
      </w:r>
    </w:p>
    <w:p w14:paraId="1F5726A6" w14:textId="752C664A" w:rsidR="00030A10" w:rsidRDefault="00556411">
      <w:pPr>
        <w:pStyle w:val="Heading1"/>
      </w:pPr>
      <w:r>
        <w:br w:type="page"/>
      </w:r>
      <w:bookmarkStart w:id="1" w:name="_Toc26345136"/>
      <w:r>
        <w:lastRenderedPageBreak/>
        <w:t>E</w:t>
      </w:r>
      <w:r w:rsidR="007223C8">
        <w:t>xecutive Summary</w:t>
      </w:r>
      <w:bookmarkEnd w:id="1"/>
    </w:p>
    <w:p w14:paraId="6D726D2B" w14:textId="3618ABBA" w:rsidR="00030A10" w:rsidRDefault="00556411">
      <w:pPr>
        <w:pBdr>
          <w:top w:val="nil"/>
          <w:left w:val="nil"/>
          <w:bottom w:val="nil"/>
          <w:right w:val="nil"/>
          <w:between w:val="nil"/>
        </w:pBdr>
        <w:spacing w:before="0" w:after="0"/>
        <w:rPr>
          <w:color w:val="000000"/>
          <w:sz w:val="20"/>
          <w:szCs w:val="20"/>
        </w:rPr>
      </w:pPr>
      <w:r w:rsidRPr="00F60C86">
        <w:rPr>
          <w:color w:val="000000"/>
        </w:rPr>
        <w:t>This document puts forth the RY 202</w:t>
      </w:r>
      <w:r w:rsidRPr="00F60C86">
        <w:t>2</w:t>
      </w:r>
      <w:r w:rsidRPr="00F60C86">
        <w:rPr>
          <w:color w:val="000000"/>
        </w:rPr>
        <w:t xml:space="preserve"> Quality-Based Reimbursement (QBR) </w:t>
      </w:r>
      <w:r w:rsidR="004C3935" w:rsidRPr="00F60C86">
        <w:t>final</w:t>
      </w:r>
      <w:r w:rsidRPr="00F60C86">
        <w:rPr>
          <w:color w:val="000000"/>
        </w:rPr>
        <w:t xml:space="preserve"> policy recommendations that include maintaining the RY 202</w:t>
      </w:r>
      <w:r w:rsidRPr="00F60C86">
        <w:t>1</w:t>
      </w:r>
      <w:r w:rsidRPr="00F60C86">
        <w:rPr>
          <w:color w:val="000000"/>
        </w:rPr>
        <w:t xml:space="preserve"> quality domains, scoring approach, and pre-set revenue adjustment scale.  This </w:t>
      </w:r>
      <w:r w:rsidR="004C3935" w:rsidRPr="00F60C86">
        <w:rPr>
          <w:color w:val="000000"/>
        </w:rPr>
        <w:t>final</w:t>
      </w:r>
      <w:r w:rsidRPr="00F60C86">
        <w:rPr>
          <w:color w:val="000000"/>
        </w:rPr>
        <w:t xml:space="preserve"> recommendation also proposes minimal changes to the program measures, as outlined below.</w:t>
      </w:r>
      <w:r>
        <w:rPr>
          <w:color w:val="000000"/>
        </w:rPr>
        <w:t xml:space="preserve"> </w:t>
      </w:r>
    </w:p>
    <w:p w14:paraId="59D2F3AB" w14:textId="0A61F1E9" w:rsidR="00030A10" w:rsidRDefault="004C3935">
      <w:pPr>
        <w:pStyle w:val="Heading2"/>
      </w:pPr>
      <w:bookmarkStart w:id="2" w:name="_Toc26345137"/>
      <w:r>
        <w:t>Final</w:t>
      </w:r>
      <w:r w:rsidR="007D097E">
        <w:t xml:space="preserve"> </w:t>
      </w:r>
      <w:r w:rsidR="00556411">
        <w:t>Recommendations for RY 2022 QBR Program</w:t>
      </w:r>
      <w:bookmarkEnd w:id="2"/>
    </w:p>
    <w:p w14:paraId="0CDADA70" w14:textId="6313A1B4" w:rsidR="00030A10" w:rsidRDefault="00556411">
      <w:pPr>
        <w:numPr>
          <w:ilvl w:val="0"/>
          <w:numId w:val="8"/>
        </w:numPr>
        <w:spacing w:before="0" w:after="0"/>
        <w:ind w:hanging="90"/>
      </w:pPr>
      <w:r>
        <w:t xml:space="preserve">Implement the </w:t>
      </w:r>
      <w:r w:rsidRPr="007223C8">
        <w:t>following measure update</w:t>
      </w:r>
      <w:r w:rsidR="007223C8">
        <w:t>s</w:t>
      </w:r>
      <w:r>
        <w:t xml:space="preserve">: </w:t>
      </w:r>
    </w:p>
    <w:p w14:paraId="42FAC312" w14:textId="09EAF5FF" w:rsidR="00030A10" w:rsidRPr="007223C8" w:rsidRDefault="00556411">
      <w:pPr>
        <w:numPr>
          <w:ilvl w:val="1"/>
          <w:numId w:val="8"/>
        </w:numPr>
        <w:spacing w:before="0" w:after="0"/>
      </w:pPr>
      <w:r w:rsidRPr="007223C8">
        <w:t xml:space="preserve">Remove the ED-2b measure commensurate with its removal from the CMS </w:t>
      </w:r>
      <w:r w:rsidR="00F60C86">
        <w:t>Inpatient Quality Reporting (</w:t>
      </w:r>
      <w:r w:rsidRPr="007223C8">
        <w:t>IQR</w:t>
      </w:r>
      <w:r w:rsidR="00F60C86">
        <w:t>)</w:t>
      </w:r>
      <w:r w:rsidRPr="007223C8">
        <w:t xml:space="preserve"> program. </w:t>
      </w:r>
    </w:p>
    <w:p w14:paraId="033D80BF" w14:textId="2ECCD0B3" w:rsidR="009E10C0" w:rsidRPr="00F60C86" w:rsidRDefault="004C3935">
      <w:pPr>
        <w:numPr>
          <w:ilvl w:val="1"/>
          <w:numId w:val="8"/>
        </w:numPr>
        <w:spacing w:before="0" w:after="0"/>
      </w:pPr>
      <w:r w:rsidRPr="00F60C86">
        <w:t>Through the work of the QBR Redesign Sub Group, c</w:t>
      </w:r>
      <w:r w:rsidR="009E10C0" w:rsidRPr="00F60C86">
        <w:t xml:space="preserve">onsider </w:t>
      </w:r>
      <w:r w:rsidRPr="00F60C86">
        <w:t xml:space="preserve">options for re-adopting ED Wait Time measures </w:t>
      </w:r>
      <w:r w:rsidR="00F60C86">
        <w:t>in</w:t>
      </w:r>
      <w:r w:rsidR="009E10C0" w:rsidRPr="00F60C86">
        <w:t xml:space="preserve">to the </w:t>
      </w:r>
      <w:r w:rsidRPr="00F60C86">
        <w:t xml:space="preserve">program for </w:t>
      </w:r>
      <w:r w:rsidR="00F60C86">
        <w:t>t</w:t>
      </w:r>
      <w:r w:rsidRPr="00F60C86">
        <w:t>he RY 2023 policy and beyond.</w:t>
      </w:r>
    </w:p>
    <w:p w14:paraId="291A4ED9" w14:textId="77777777" w:rsidR="00030A10" w:rsidRPr="007223C8" w:rsidRDefault="00556411">
      <w:pPr>
        <w:numPr>
          <w:ilvl w:val="0"/>
          <w:numId w:val="8"/>
        </w:numPr>
        <w:spacing w:before="0" w:after="0"/>
        <w:ind w:hanging="90"/>
      </w:pPr>
      <w:r w:rsidRPr="007223C8">
        <w:t>Continue Domain Weighting as follows for determining hospitals’ overall performance scores:  Person and Community Engagement - 50 percent, Safety (NHSN measures) - 35 percent, Clinical Care - 15 percent.</w:t>
      </w:r>
    </w:p>
    <w:p w14:paraId="714FB558" w14:textId="77777777" w:rsidR="00030A10" w:rsidRDefault="00556411">
      <w:pPr>
        <w:numPr>
          <w:ilvl w:val="0"/>
          <w:numId w:val="8"/>
        </w:numPr>
        <w:spacing w:before="0" w:after="0" w:line="276" w:lineRule="auto"/>
        <w:ind w:hanging="90"/>
      </w:pPr>
      <w:r w:rsidRPr="007223C8">
        <w:t>Maintain the pre-set scale (0</w:t>
      </w:r>
      <w:r>
        <w:t xml:space="preserve">-80 percent with cut-point at 41 percent), and continue to hold 2 percent of inpatient revenue at-risk (rewards and penalties) for the QBR program. </w:t>
      </w:r>
    </w:p>
    <w:p w14:paraId="19ECDAFF" w14:textId="77777777" w:rsidR="00030A10" w:rsidRDefault="00030A10">
      <w:pPr>
        <w:spacing w:before="0" w:after="0" w:line="276" w:lineRule="auto"/>
        <w:ind w:left="720"/>
      </w:pPr>
    </w:p>
    <w:p w14:paraId="2E9A1D03" w14:textId="77777777" w:rsidR="00030A10" w:rsidRDefault="00030A10">
      <w:pPr>
        <w:spacing w:before="0" w:after="0" w:line="276" w:lineRule="auto"/>
        <w:ind w:left="720"/>
      </w:pPr>
    </w:p>
    <w:p w14:paraId="6957D4A7" w14:textId="01123FD7" w:rsidR="00030A10" w:rsidRDefault="00556411">
      <w:pPr>
        <w:pStyle w:val="Heading1"/>
      </w:pPr>
      <w:r>
        <w:br w:type="page"/>
      </w:r>
      <w:bookmarkStart w:id="3" w:name="_Toc26345138"/>
      <w:r>
        <w:lastRenderedPageBreak/>
        <w:t>I</w:t>
      </w:r>
      <w:r w:rsidR="007223C8">
        <w:t>ntroduction</w:t>
      </w:r>
      <w:bookmarkEnd w:id="3"/>
    </w:p>
    <w:p w14:paraId="5248386A" w14:textId="4770DCB3" w:rsidR="00AA234D" w:rsidRDefault="00AA234D" w:rsidP="00AA234D">
      <w:pPr>
        <w:pBdr>
          <w:top w:val="nil"/>
          <w:left w:val="nil"/>
          <w:bottom w:val="nil"/>
          <w:right w:val="nil"/>
          <w:between w:val="nil"/>
        </w:pBdr>
        <w:rPr>
          <w:color w:val="000000"/>
        </w:rPr>
      </w:pPr>
      <w:r>
        <w:t xml:space="preserve">Since 2014, Maryland </w:t>
      </w:r>
      <w:r>
        <w:rPr>
          <w:color w:val="000000"/>
        </w:rPr>
        <w:t xml:space="preserve">hospitals </w:t>
      </w:r>
      <w:r w:rsidR="00780DE2">
        <w:rPr>
          <w:color w:val="000000"/>
        </w:rPr>
        <w:t>have been</w:t>
      </w:r>
      <w:r>
        <w:rPr>
          <w:color w:val="000000"/>
        </w:rPr>
        <w:t xml:space="preserve"> funded under Population</w:t>
      </w:r>
      <w:r>
        <w:t>-</w:t>
      </w:r>
      <w:r>
        <w:rPr>
          <w:color w:val="000000"/>
        </w:rPr>
        <w:t>Based Revenue, a fixed annual revenue cap that is adjusted for inflation, quality performance, reductions in potentially avoidable utilization, market shifts, and demographic growth. Under the Population</w:t>
      </w:r>
      <w:r>
        <w:t>-</w:t>
      </w:r>
      <w:r>
        <w:rPr>
          <w:color w:val="000000"/>
        </w:rPr>
        <w:t xml:space="preserve">Based Revenue system, hospitals are incentivized to transition services </w:t>
      </w:r>
      <w:r>
        <w:t xml:space="preserve">to the most appropriate setting within </w:t>
      </w:r>
      <w:r>
        <w:rPr>
          <w:color w:val="000000"/>
        </w:rPr>
        <w:t xml:space="preserve">the continuum of care, and may keep savings that they achieve via improved quality of care (e.g., reduced avoidable utilization, readmissions, hospital-acquired infections). </w:t>
      </w:r>
      <w:r>
        <w:t xml:space="preserve">It is important that the Commission ensure that any incentives to constrain hospital expenditures do not result in declining quality of care. </w:t>
      </w:r>
      <w:r>
        <w:rPr>
          <w:color w:val="000000"/>
        </w:rPr>
        <w:t xml:space="preserve">Thus, </w:t>
      </w:r>
      <w:r w:rsidR="005A6A9D">
        <w:rPr>
          <w:color w:val="000000"/>
        </w:rPr>
        <w:t>the Maryland Health Services Cost Review Commission’s (HSCRC’s or Commission’s)</w:t>
      </w:r>
      <w:r>
        <w:rPr>
          <w:color w:val="000000"/>
        </w:rPr>
        <w:t xml:space="preserve"> Quality programs reward quality improvements </w:t>
      </w:r>
      <w:r w:rsidR="00845BEF">
        <w:rPr>
          <w:color w:val="000000"/>
        </w:rPr>
        <w:t xml:space="preserve">that </w:t>
      </w:r>
      <w:r>
        <w:rPr>
          <w:color w:val="000000"/>
        </w:rPr>
        <w:t>reinforce the incentives of the Population</w:t>
      </w:r>
      <w:r>
        <w:t>-</w:t>
      </w:r>
      <w:r>
        <w:rPr>
          <w:color w:val="000000"/>
        </w:rPr>
        <w:t xml:space="preserve">Based Revenue system, </w:t>
      </w:r>
      <w:r w:rsidR="00CA778D">
        <w:rPr>
          <w:color w:val="000000"/>
        </w:rPr>
        <w:t xml:space="preserve">while guarding against unintended consequences and penalizing poor performance.  </w:t>
      </w:r>
    </w:p>
    <w:p w14:paraId="6985FF54" w14:textId="70CC9E18" w:rsidR="00030A10" w:rsidRDefault="00556411">
      <w:pPr>
        <w:pBdr>
          <w:top w:val="nil"/>
          <w:left w:val="nil"/>
          <w:bottom w:val="nil"/>
          <w:right w:val="nil"/>
          <w:between w:val="nil"/>
        </w:pBdr>
        <w:rPr>
          <w:color w:val="000000"/>
        </w:rPr>
      </w:pPr>
      <w:r>
        <w:rPr>
          <w:color w:val="000000"/>
        </w:rPr>
        <w:t>The HSCRC’s Quality Based Reimbursement (QBR) program is one of several pay</w:t>
      </w:r>
      <w:r>
        <w:t>-</w:t>
      </w:r>
      <w:r>
        <w:rPr>
          <w:color w:val="000000"/>
        </w:rPr>
        <w:t>for</w:t>
      </w:r>
      <w:r>
        <w:t>-</w:t>
      </w:r>
      <w:r>
        <w:rPr>
          <w:color w:val="000000"/>
        </w:rPr>
        <w:t xml:space="preserve">performance initiatives that provide incentives for hospitals to improve patient care and value over time. Under the current </w:t>
      </w:r>
      <w:r>
        <w:t>Total Cost of Care (TCOC)</w:t>
      </w:r>
      <w:r>
        <w:rPr>
          <w:color w:val="000000"/>
        </w:rPr>
        <w:t xml:space="preserve"> Model Agreement between Maryland and the Centers for Medicare &amp; Medicaid Services (CMS), Maryland</w:t>
      </w:r>
      <w:r>
        <w:t xml:space="preserve">’s QBR </w:t>
      </w:r>
      <w:r>
        <w:rPr>
          <w:color w:val="000000"/>
        </w:rPr>
        <w:t xml:space="preserve">program has no stated performance requirements. However, the Commission has prioritized aligning the QBR program with the federal Value Based Purchasing (VBP) program, and has attempted to encourage improvement in areas where Maryland has exhibited poor performance relative to the nation.  </w:t>
      </w:r>
    </w:p>
    <w:p w14:paraId="0C2E6ABC" w14:textId="34396C08" w:rsidR="00030A10" w:rsidRDefault="00556411">
      <w:pPr>
        <w:pBdr>
          <w:top w:val="nil"/>
          <w:left w:val="nil"/>
          <w:bottom w:val="nil"/>
          <w:right w:val="nil"/>
          <w:between w:val="nil"/>
        </w:pBdr>
        <w:rPr>
          <w:color w:val="000000"/>
        </w:rPr>
      </w:pPr>
      <w:r>
        <w:t xml:space="preserve">Under the TCOC Model, the State must request exemptions from the CMS Hospital Acquired Conditions (HAC) program, Hospital Readmission Reduction program (HRRP), and Hospital Value-Based Purchasing (HVBP) program based on annual reports to CMS that demonstrate that Maryland’s program results continue to be aggressive and progressive, </w:t>
      </w:r>
      <w:r w:rsidR="00AA234D">
        <w:t xml:space="preserve">i.e. </w:t>
      </w:r>
      <w:r>
        <w:t>meeting or surpassing those of the nation.   HSCRC submitted a report this year with its exemption request and received notification from CMS on August 29, 2019 that the exemptions were granted for Federal Fiscal Year 2020</w:t>
      </w:r>
      <w:r w:rsidR="005A6A9D">
        <w:t>.</w:t>
      </w:r>
      <w:r w:rsidR="00502348">
        <w:rPr>
          <w:rStyle w:val="FootnoteReference"/>
        </w:rPr>
        <w:footnoteReference w:id="1"/>
      </w:r>
      <w:r>
        <w:t xml:space="preserve"> With </w:t>
      </w:r>
      <w:r>
        <w:rPr>
          <w:color w:val="000000"/>
        </w:rPr>
        <w:t>Maryland</w:t>
      </w:r>
      <w:r>
        <w:t xml:space="preserve">’s continued exemption from the </w:t>
      </w:r>
      <w:r w:rsidR="007223C8">
        <w:t>federal VBP p</w:t>
      </w:r>
      <w:r w:rsidR="00FA587C">
        <w:t>rogram, the S</w:t>
      </w:r>
      <w:r>
        <w:t xml:space="preserve">tate (via the HSCRC) </w:t>
      </w:r>
      <w:r w:rsidR="00E62C33">
        <w:t>can continue to</w:t>
      </w:r>
      <w:r w:rsidR="005A6A9D">
        <w:t xml:space="preserve"> </w:t>
      </w:r>
      <w:r>
        <w:t xml:space="preserve">generate </w:t>
      </w:r>
      <w:r>
        <w:rPr>
          <w:color w:val="000000"/>
        </w:rPr>
        <w:t>autonomous, quality-based measurement and payment initiatives that set consistent all-payer quality incentives.</w:t>
      </w:r>
      <w:r>
        <w:rPr>
          <w:color w:val="000000"/>
          <w:vertAlign w:val="superscript"/>
        </w:rPr>
        <w:footnoteReference w:id="2"/>
      </w:r>
      <w:r>
        <w:rPr>
          <w:color w:val="000000"/>
        </w:rPr>
        <w:t xml:space="preserve">    . </w:t>
      </w:r>
    </w:p>
    <w:p w14:paraId="6BC158EE" w14:textId="078133CF" w:rsidR="00030A10" w:rsidRDefault="00556411">
      <w:pPr>
        <w:pBdr>
          <w:top w:val="nil"/>
          <w:left w:val="nil"/>
          <w:bottom w:val="nil"/>
          <w:right w:val="nil"/>
          <w:between w:val="nil"/>
        </w:pBdr>
        <w:rPr>
          <w:color w:val="000000"/>
        </w:rPr>
      </w:pPr>
      <w:r>
        <w:rPr>
          <w:color w:val="000000"/>
        </w:rPr>
        <w:t xml:space="preserve">The QBR program measures and domains are similar to those of the VBP program, but there are a few differences.  Most notably, QBR does not include an Efficiency domain, </w:t>
      </w:r>
      <w:r w:rsidR="00AA234D">
        <w:rPr>
          <w:color w:val="000000"/>
        </w:rPr>
        <w:t xml:space="preserve">as efficiency is more directly measured in other </w:t>
      </w:r>
      <w:r w:rsidR="00E3538B">
        <w:rPr>
          <w:color w:val="000000"/>
        </w:rPr>
        <w:t xml:space="preserve">HSCRC methodologies, </w:t>
      </w:r>
      <w:r w:rsidR="00660BFF">
        <w:rPr>
          <w:color w:val="000000"/>
        </w:rPr>
        <w:t xml:space="preserve">including, the </w:t>
      </w:r>
      <w:r w:rsidR="00E3538B">
        <w:rPr>
          <w:color w:val="000000"/>
        </w:rPr>
        <w:t>Potentially Avoidable Utilization</w:t>
      </w:r>
      <w:r w:rsidR="00660BFF">
        <w:rPr>
          <w:color w:val="000000"/>
        </w:rPr>
        <w:t xml:space="preserve"> program, the Medicare Performance Adjustment, and the Integrated Efficiency policy.  Another key difference is that the </w:t>
      </w:r>
      <w:r>
        <w:rPr>
          <w:color w:val="000000"/>
        </w:rPr>
        <w:t>HSCRC has put higher weight on the Person and Community Engagement and Safety domains to encourage improvement on measures of patient experience.</w:t>
      </w:r>
    </w:p>
    <w:p w14:paraId="737D89DC" w14:textId="5585F0E4" w:rsidR="00030A10" w:rsidRDefault="00556411">
      <w:pPr>
        <w:pBdr>
          <w:top w:val="nil"/>
          <w:left w:val="nil"/>
          <w:bottom w:val="nil"/>
          <w:right w:val="nil"/>
          <w:between w:val="nil"/>
        </w:pBdr>
        <w:rPr>
          <w:color w:val="000000"/>
        </w:rPr>
      </w:pPr>
      <w:r>
        <w:lastRenderedPageBreak/>
        <w:t xml:space="preserve">Generally </w:t>
      </w:r>
      <w:r w:rsidR="00E62C33">
        <w:t xml:space="preserve">though </w:t>
      </w:r>
      <w:r>
        <w:t>the HSCRC tries to align the QBR program to measures of national import, and where feasible t</w:t>
      </w:r>
      <w:r>
        <w:rPr>
          <w:color w:val="000000"/>
        </w:rPr>
        <w:t xml:space="preserve">he </w:t>
      </w:r>
      <w:r>
        <w:t>Commission</w:t>
      </w:r>
      <w:r>
        <w:rPr>
          <w:color w:val="000000"/>
        </w:rPr>
        <w:t xml:space="preserve"> incorporates more comprehensive measurement relative to the VBP program</w:t>
      </w:r>
      <w:r>
        <w:t>,</w:t>
      </w:r>
      <w:r>
        <w:rPr>
          <w:vertAlign w:val="superscript"/>
        </w:rPr>
        <w:footnoteReference w:id="3"/>
      </w:r>
      <w:r>
        <w:t xml:space="preserve"> </w:t>
      </w:r>
      <w:r>
        <w:rPr>
          <w:color w:val="000000"/>
        </w:rPr>
        <w:t xml:space="preserve"> most notably an all-cause, inpatient Maryland mortality measure versus VBP’s condition-specific 30-day mortality measures.</w:t>
      </w:r>
      <w:r w:rsidR="00E62C33">
        <w:rPr>
          <w:rStyle w:val="FootnoteReference"/>
          <w:color w:val="000000"/>
        </w:rPr>
        <w:footnoteReference w:id="4"/>
      </w:r>
      <w:r>
        <w:rPr>
          <w:color w:val="000000"/>
        </w:rPr>
        <w:t xml:space="preserve"> </w:t>
      </w:r>
    </w:p>
    <w:p w14:paraId="03DAC95D" w14:textId="7A0D7D40" w:rsidR="00E62C33" w:rsidRPr="005A6A9D" w:rsidRDefault="00E62C33">
      <w:pPr>
        <w:pBdr>
          <w:top w:val="nil"/>
          <w:left w:val="nil"/>
          <w:bottom w:val="nil"/>
          <w:right w:val="nil"/>
          <w:between w:val="nil"/>
        </w:pBdr>
        <w:rPr>
          <w:i/>
        </w:rPr>
      </w:pPr>
      <w:r>
        <w:rPr>
          <w:color w:val="000000"/>
        </w:rPr>
        <w:t>Finally, it is important to note that Maryland has begun the work to update</w:t>
      </w:r>
      <w:r>
        <w:t xml:space="preserve"> performance standards and targets in HSCRC’s portfolio of quality and value-based payment programs with the onset of the</w:t>
      </w:r>
      <w:r>
        <w:rPr>
          <w:color w:val="000000"/>
        </w:rPr>
        <w:t xml:space="preserve"> Total Cost of Care (TCOC) Model Agreement with CMS. </w:t>
      </w:r>
      <w:r>
        <w:t>Per directives from HSCRC Commissioners,</w:t>
      </w:r>
      <w:r>
        <w:rPr>
          <w:vertAlign w:val="superscript"/>
        </w:rPr>
        <w:footnoteReference w:id="5"/>
      </w:r>
      <w:r>
        <w:t xml:space="preserve"> </w:t>
      </w:r>
      <w:r>
        <w:rPr>
          <w:color w:val="000000"/>
        </w:rPr>
        <w:t xml:space="preserve">staff </w:t>
      </w:r>
      <w:r>
        <w:t>worked with stakeholders</w:t>
      </w:r>
      <w:r>
        <w:rPr>
          <w:color w:val="000000"/>
        </w:rPr>
        <w:t xml:space="preserve"> last year to revise two of the Commission’s Quality programs, the Maryland Hospital Acquired </w:t>
      </w:r>
      <w:r w:rsidR="00905594">
        <w:rPr>
          <w:color w:val="000000"/>
        </w:rPr>
        <w:t xml:space="preserve">Conditions </w:t>
      </w:r>
      <w:r>
        <w:rPr>
          <w:color w:val="000000"/>
        </w:rPr>
        <w:t>program and the Potentially Avoidable Utilization program.</w:t>
      </w:r>
      <w:r>
        <w:rPr>
          <w:vertAlign w:val="superscript"/>
        </w:rPr>
        <w:footnoteReference w:id="6"/>
      </w:r>
      <w:r>
        <w:rPr>
          <w:color w:val="000000"/>
        </w:rPr>
        <w:t xml:space="preserve">  This year, staff is working with stakeholders to </w:t>
      </w:r>
      <w:r>
        <w:t>redesign</w:t>
      </w:r>
      <w:r>
        <w:rPr>
          <w:color w:val="000000"/>
        </w:rPr>
        <w:t xml:space="preserve"> the</w:t>
      </w:r>
      <w:r>
        <w:t xml:space="preserve"> Readmissions Reduction Incentive Program for RY 2022 (Performance Period - CY 2020). </w:t>
      </w:r>
      <w:r>
        <w:rPr>
          <w:color w:val="000000"/>
        </w:rPr>
        <w:t xml:space="preserve">The QBR program will include </w:t>
      </w:r>
      <w:r>
        <w:t xml:space="preserve">minor updates this year, </w:t>
      </w:r>
      <w:r>
        <w:rPr>
          <w:color w:val="000000"/>
        </w:rPr>
        <w:t>but will largely remain similar to prior iterations of the polic</w:t>
      </w:r>
      <w:r>
        <w:t xml:space="preserve">y, as it is slated for redesign for next year. For more information on suggested areas of analysis for the future QBR redesign, please see “QBR Future Updates” or follow along with our work over the coming calendar year.  </w:t>
      </w:r>
    </w:p>
    <w:p w14:paraId="321EB03D" w14:textId="612EBF07" w:rsidR="00030A10" w:rsidRDefault="00556411">
      <w:pPr>
        <w:pBdr>
          <w:top w:val="nil"/>
          <w:left w:val="nil"/>
          <w:bottom w:val="nil"/>
          <w:right w:val="nil"/>
          <w:between w:val="nil"/>
        </w:pBdr>
        <w:rPr>
          <w:color w:val="000000"/>
        </w:rPr>
      </w:pPr>
      <w:r>
        <w:rPr>
          <w:color w:val="000000"/>
        </w:rPr>
        <w:t xml:space="preserve">This report provides </w:t>
      </w:r>
      <w:r w:rsidR="004C3935">
        <w:t>final</w:t>
      </w:r>
      <w:r>
        <w:rPr>
          <w:color w:val="000000"/>
        </w:rPr>
        <w:t xml:space="preserve"> recommendations for updates to Maryland’s QBR program for Rate Year (RY) 202</w:t>
      </w:r>
      <w:r>
        <w:t>2, with minimal updates from RY 2021.</w:t>
      </w:r>
      <w:r>
        <w:rPr>
          <w:color w:val="000000"/>
        </w:rPr>
        <w:t xml:space="preserve">  </w:t>
      </w:r>
    </w:p>
    <w:p w14:paraId="5E5BDC9D" w14:textId="0A6DFB73" w:rsidR="00030A10" w:rsidRDefault="00556411">
      <w:pPr>
        <w:pStyle w:val="Heading1"/>
      </w:pPr>
      <w:bookmarkStart w:id="4" w:name="_Toc26345139"/>
      <w:r>
        <w:t>B</w:t>
      </w:r>
      <w:r w:rsidR="007223C8">
        <w:t>ackground</w:t>
      </w:r>
      <w:bookmarkEnd w:id="4"/>
    </w:p>
    <w:p w14:paraId="052B65AE" w14:textId="77777777" w:rsidR="00030A10" w:rsidRDefault="00556411">
      <w:pPr>
        <w:pBdr>
          <w:top w:val="nil"/>
          <w:left w:val="nil"/>
          <w:bottom w:val="nil"/>
          <w:right w:val="nil"/>
          <w:between w:val="nil"/>
        </w:pBdr>
        <w:rPr>
          <w:color w:val="000000"/>
        </w:rPr>
      </w:pPr>
      <w:r>
        <w:rPr>
          <w:color w:val="000000"/>
        </w:rPr>
        <w:t>The Affordable Care Act established the hospital Medicare Value-Based Purchasing (VBP) program,</w:t>
      </w:r>
      <w:r>
        <w:rPr>
          <w:color w:val="000000"/>
          <w:vertAlign w:val="superscript"/>
        </w:rPr>
        <w:footnoteReference w:id="7"/>
      </w:r>
      <w:r>
        <w:rPr>
          <w:color w:val="000000"/>
        </w:rPr>
        <w:t xml:space="preserve"> which requires CMS to reward hospitals with incentive payments for the quality of care provided to Medicare beneficiaries.  Figure 1 below compares the RY 202</w:t>
      </w:r>
      <w:r>
        <w:t>1</w:t>
      </w:r>
      <w:r>
        <w:rPr>
          <w:color w:val="000000"/>
        </w:rPr>
        <w:t xml:space="preserve"> QBR measures--</w:t>
      </w:r>
      <w:r>
        <w:t>wi</w:t>
      </w:r>
      <w:r w:rsidR="001B1684">
        <w:t>th changes noted from RY 2020—</w:t>
      </w:r>
      <w:r>
        <w:rPr>
          <w:color w:val="000000"/>
        </w:rPr>
        <w:t xml:space="preserve"> and domain weights to those used in the CMS VBP program. </w:t>
      </w:r>
    </w:p>
    <w:p w14:paraId="7DC9A578" w14:textId="77777777" w:rsidR="007223C8" w:rsidRDefault="007223C8">
      <w:pPr>
        <w:rPr>
          <w:rFonts w:ascii="Calibri" w:eastAsia="Calibri" w:hAnsi="Calibri" w:cs="Calibri"/>
          <w:b/>
          <w:color w:val="4F81BD"/>
        </w:rPr>
      </w:pPr>
      <w:r>
        <w:rPr>
          <w:rFonts w:ascii="Calibri" w:eastAsia="Calibri" w:hAnsi="Calibri" w:cs="Calibri"/>
          <w:b/>
          <w:color w:val="4F81BD"/>
        </w:rPr>
        <w:br w:type="page"/>
      </w:r>
    </w:p>
    <w:p w14:paraId="6CE8743D" w14:textId="19F2418E"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lastRenderedPageBreak/>
        <w:t xml:space="preserve">Figure 1. RY 2021 QBR Measures with Changes from RY 2020, Domain Weights </w:t>
      </w:r>
    </w:p>
    <w:p w14:paraId="2CC0328F" w14:textId="17FDE1C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t>Compa</w:t>
      </w:r>
      <w:r w:rsidR="00215C2A">
        <w:rPr>
          <w:rFonts w:ascii="Calibri" w:eastAsia="Calibri" w:hAnsi="Calibri" w:cs="Calibri"/>
          <w:b/>
          <w:color w:val="4F81BD"/>
        </w:rPr>
        <w:t>red with CMS VBP Program</w:t>
      </w:r>
      <w:r>
        <w:rPr>
          <w:rFonts w:ascii="Calibri" w:eastAsia="Calibri" w:hAnsi="Calibri" w:cs="Calibri"/>
          <w:b/>
          <w:color w:val="4F81BD"/>
        </w:rPr>
        <w:t xml:space="preserve"> </w:t>
      </w:r>
    </w:p>
    <w:tbl>
      <w:tblPr>
        <w:tblStyle w:val="a"/>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3645"/>
        <w:gridCol w:w="3345"/>
      </w:tblGrid>
      <w:tr w:rsidR="00030A10" w14:paraId="6FB7FD3E" w14:textId="77777777">
        <w:trPr>
          <w:trHeight w:val="440"/>
          <w:jc w:val="center"/>
        </w:trPr>
        <w:tc>
          <w:tcPr>
            <w:tcW w:w="2550" w:type="dxa"/>
            <w:shd w:val="clear" w:color="auto" w:fill="BDD7EB"/>
          </w:tcPr>
          <w:p w14:paraId="64606F17" w14:textId="77777777" w:rsidR="00030A10" w:rsidRDefault="00030A10">
            <w:pPr>
              <w:spacing w:before="0" w:after="0"/>
              <w:rPr>
                <w:rFonts w:ascii="Calibri" w:eastAsia="Calibri" w:hAnsi="Calibri" w:cs="Calibri"/>
                <w:sz w:val="22"/>
                <w:szCs w:val="22"/>
              </w:rPr>
            </w:pPr>
          </w:p>
        </w:tc>
        <w:tc>
          <w:tcPr>
            <w:tcW w:w="3645" w:type="dxa"/>
            <w:shd w:val="clear" w:color="auto" w:fill="BDD7EB"/>
          </w:tcPr>
          <w:p w14:paraId="6292A8B5" w14:textId="77777777" w:rsidR="00030A10" w:rsidRDefault="00556411">
            <w:pPr>
              <w:spacing w:before="0" w:after="0"/>
              <w:jc w:val="center"/>
              <w:rPr>
                <w:rFonts w:ascii="Calibri" w:eastAsia="Calibri" w:hAnsi="Calibri" w:cs="Calibri"/>
                <w:sz w:val="22"/>
                <w:szCs w:val="22"/>
              </w:rPr>
            </w:pPr>
            <w:r>
              <w:rPr>
                <w:rFonts w:ascii="Calibri" w:eastAsia="Calibri" w:hAnsi="Calibri" w:cs="Calibri"/>
                <w:b/>
                <w:sz w:val="22"/>
                <w:szCs w:val="22"/>
              </w:rPr>
              <w:t>Maryland QBR Domain Weights and Measures</w:t>
            </w:r>
          </w:p>
        </w:tc>
        <w:tc>
          <w:tcPr>
            <w:tcW w:w="3345" w:type="dxa"/>
            <w:shd w:val="clear" w:color="auto" w:fill="BDD7EB"/>
          </w:tcPr>
          <w:p w14:paraId="2F5F226A" w14:textId="77777777" w:rsidR="00030A10" w:rsidRDefault="00556411">
            <w:pPr>
              <w:spacing w:before="0" w:after="0"/>
              <w:jc w:val="center"/>
              <w:rPr>
                <w:rFonts w:ascii="Calibri" w:eastAsia="Calibri" w:hAnsi="Calibri" w:cs="Calibri"/>
                <w:sz w:val="22"/>
                <w:szCs w:val="22"/>
              </w:rPr>
            </w:pPr>
            <w:r>
              <w:rPr>
                <w:rFonts w:ascii="Calibri" w:eastAsia="Calibri" w:hAnsi="Calibri" w:cs="Calibri"/>
                <w:b/>
                <w:sz w:val="22"/>
                <w:szCs w:val="22"/>
              </w:rPr>
              <w:t>CMS VBP Domain Weights and Measures</w:t>
            </w:r>
          </w:p>
        </w:tc>
      </w:tr>
      <w:tr w:rsidR="00030A10" w14:paraId="44E468D1" w14:textId="77777777">
        <w:trPr>
          <w:trHeight w:val="660"/>
          <w:jc w:val="center"/>
        </w:trPr>
        <w:tc>
          <w:tcPr>
            <w:tcW w:w="2550" w:type="dxa"/>
          </w:tcPr>
          <w:p w14:paraId="007B3155" w14:textId="77777777" w:rsidR="00030A10" w:rsidRDefault="00556411">
            <w:pPr>
              <w:spacing w:before="0" w:after="0"/>
              <w:rPr>
                <w:rFonts w:ascii="Calibri" w:eastAsia="Calibri" w:hAnsi="Calibri" w:cs="Calibri"/>
                <w:sz w:val="22"/>
                <w:szCs w:val="22"/>
              </w:rPr>
            </w:pPr>
            <w:r>
              <w:rPr>
                <w:rFonts w:ascii="Calibri" w:eastAsia="Calibri" w:hAnsi="Calibri" w:cs="Calibri"/>
                <w:b/>
                <w:sz w:val="22"/>
                <w:szCs w:val="22"/>
              </w:rPr>
              <w:t xml:space="preserve">Clinical Care </w:t>
            </w:r>
          </w:p>
        </w:tc>
        <w:tc>
          <w:tcPr>
            <w:tcW w:w="3645" w:type="dxa"/>
          </w:tcPr>
          <w:p w14:paraId="11203C75" w14:textId="77777777" w:rsidR="00030A10" w:rsidRDefault="00556411">
            <w:pPr>
              <w:spacing w:before="0" w:after="0"/>
              <w:ind w:left="-25"/>
              <w:rPr>
                <w:rFonts w:ascii="Calibri" w:eastAsia="Calibri" w:hAnsi="Calibri" w:cs="Calibri"/>
                <w:sz w:val="22"/>
                <w:szCs w:val="22"/>
              </w:rPr>
            </w:pPr>
            <w:r>
              <w:rPr>
                <w:rFonts w:ascii="Calibri" w:eastAsia="Calibri" w:hAnsi="Calibri" w:cs="Calibri"/>
                <w:sz w:val="22"/>
                <w:szCs w:val="22"/>
              </w:rPr>
              <w:t>15 percent -2 measures: all cause inpatient Mortality,</w:t>
            </w:r>
          </w:p>
          <w:p w14:paraId="1CBC1F49" w14:textId="77777777" w:rsidR="00030A10" w:rsidRDefault="00556411">
            <w:pPr>
              <w:spacing w:before="0" w:after="0"/>
              <w:ind w:left="-25"/>
              <w:rPr>
                <w:rFonts w:ascii="Calibri" w:eastAsia="Calibri" w:hAnsi="Calibri" w:cs="Calibri"/>
                <w:sz w:val="22"/>
                <w:szCs w:val="22"/>
              </w:rPr>
            </w:pPr>
            <w:r>
              <w:rPr>
                <w:rFonts w:ascii="Calibri" w:eastAsia="Calibri" w:hAnsi="Calibri" w:cs="Calibri"/>
                <w:sz w:val="22"/>
                <w:szCs w:val="22"/>
              </w:rPr>
              <w:t>THA/TKA complications measure (newly adopted RY 2021)</w:t>
            </w:r>
          </w:p>
        </w:tc>
        <w:tc>
          <w:tcPr>
            <w:tcW w:w="3345" w:type="dxa"/>
          </w:tcPr>
          <w:p w14:paraId="7808FD22" w14:textId="77777777" w:rsidR="00030A10" w:rsidRDefault="00556411">
            <w:pPr>
              <w:spacing w:before="0" w:after="0"/>
              <w:ind w:left="-25"/>
              <w:rPr>
                <w:rFonts w:ascii="Calibri" w:eastAsia="Calibri" w:hAnsi="Calibri" w:cs="Calibri"/>
                <w:sz w:val="22"/>
                <w:szCs w:val="22"/>
              </w:rPr>
            </w:pPr>
            <w:r>
              <w:rPr>
                <w:rFonts w:ascii="Calibri" w:eastAsia="Calibri" w:hAnsi="Calibri" w:cs="Calibri"/>
                <w:sz w:val="22"/>
                <w:szCs w:val="22"/>
              </w:rPr>
              <w:t xml:space="preserve">25 percent -5 measures: 4 condition-specific Mortality, </w:t>
            </w:r>
          </w:p>
          <w:p w14:paraId="0BE40019" w14:textId="77777777" w:rsidR="00030A10" w:rsidRDefault="00556411">
            <w:pPr>
              <w:spacing w:before="0" w:after="0"/>
              <w:ind w:left="-25"/>
              <w:rPr>
                <w:rFonts w:ascii="Calibri" w:eastAsia="Calibri" w:hAnsi="Calibri" w:cs="Calibri"/>
                <w:sz w:val="22"/>
                <w:szCs w:val="22"/>
              </w:rPr>
            </w:pPr>
            <w:r>
              <w:rPr>
                <w:rFonts w:ascii="Calibri" w:eastAsia="Calibri" w:hAnsi="Calibri" w:cs="Calibri"/>
                <w:sz w:val="22"/>
                <w:szCs w:val="22"/>
              </w:rPr>
              <w:t>THA/TKA complications measure</w:t>
            </w:r>
          </w:p>
        </w:tc>
      </w:tr>
      <w:tr w:rsidR="00030A10" w14:paraId="47E9C6CA" w14:textId="77777777">
        <w:trPr>
          <w:trHeight w:val="500"/>
          <w:jc w:val="center"/>
        </w:trPr>
        <w:tc>
          <w:tcPr>
            <w:tcW w:w="2550" w:type="dxa"/>
          </w:tcPr>
          <w:p w14:paraId="0995FA70" w14:textId="77777777" w:rsidR="00030A10" w:rsidRDefault="00556411">
            <w:pPr>
              <w:pBdr>
                <w:top w:val="nil"/>
                <w:left w:val="nil"/>
                <w:bottom w:val="nil"/>
                <w:right w:val="nil"/>
                <w:between w:val="nil"/>
              </w:pBdr>
              <w:spacing w:before="60" w:after="60"/>
              <w:rPr>
                <w:color w:val="000000"/>
              </w:rPr>
            </w:pPr>
            <w:r>
              <w:rPr>
                <w:rFonts w:ascii="Calibri" w:eastAsia="Calibri" w:hAnsi="Calibri" w:cs="Calibri"/>
                <w:b/>
                <w:color w:val="000000"/>
                <w:sz w:val="22"/>
                <w:szCs w:val="22"/>
              </w:rPr>
              <w:t>Person and Community Engagement</w:t>
            </w:r>
          </w:p>
        </w:tc>
        <w:tc>
          <w:tcPr>
            <w:tcW w:w="3645" w:type="dxa"/>
          </w:tcPr>
          <w:p w14:paraId="59B54C5D"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50 percent- 9 measures:  8 HCAHPS measures;  ED-2b wait time measure </w:t>
            </w:r>
          </w:p>
          <w:p w14:paraId="1B3F7609" w14:textId="77777777" w:rsidR="00030A10" w:rsidRDefault="00030A10">
            <w:pPr>
              <w:tabs>
                <w:tab w:val="left" w:pos="0"/>
              </w:tabs>
              <w:spacing w:before="0" w:after="0"/>
              <w:rPr>
                <w:rFonts w:ascii="Calibri" w:eastAsia="Calibri" w:hAnsi="Calibri" w:cs="Calibri"/>
                <w:sz w:val="22"/>
                <w:szCs w:val="22"/>
              </w:rPr>
            </w:pPr>
          </w:p>
          <w:p w14:paraId="6CA00079" w14:textId="77777777" w:rsidR="00030A10" w:rsidRDefault="00556411">
            <w:pPr>
              <w:tabs>
                <w:tab w:val="left" w:pos="0"/>
              </w:tabs>
              <w:spacing w:before="0" w:after="0"/>
              <w:rPr>
                <w:rFonts w:ascii="Calibri" w:eastAsia="Calibri" w:hAnsi="Calibri" w:cs="Calibri"/>
                <w:sz w:val="22"/>
                <w:szCs w:val="22"/>
              </w:rPr>
            </w:pPr>
            <w:r>
              <w:rPr>
                <w:rFonts w:ascii="Calibri" w:eastAsia="Calibri" w:hAnsi="Calibri" w:cs="Calibri"/>
                <w:sz w:val="22"/>
                <w:szCs w:val="22"/>
              </w:rPr>
              <w:t>(ED-1b removed after RY 2020)</w:t>
            </w:r>
          </w:p>
        </w:tc>
        <w:tc>
          <w:tcPr>
            <w:tcW w:w="3345" w:type="dxa"/>
          </w:tcPr>
          <w:p w14:paraId="513F0D8E"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25 percent- 8  HCAHPS measures </w:t>
            </w:r>
          </w:p>
          <w:p w14:paraId="7AF7D421" w14:textId="77777777" w:rsidR="00030A10" w:rsidRDefault="00030A10">
            <w:pPr>
              <w:spacing w:before="0" w:after="0"/>
              <w:rPr>
                <w:rFonts w:ascii="Calibri" w:eastAsia="Calibri" w:hAnsi="Calibri" w:cs="Calibri"/>
                <w:sz w:val="22"/>
                <w:szCs w:val="22"/>
              </w:rPr>
            </w:pPr>
          </w:p>
          <w:p w14:paraId="1091E423" w14:textId="7493390E"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(no </w:t>
            </w:r>
            <w:r w:rsidR="00E17B10">
              <w:rPr>
                <w:rFonts w:ascii="Calibri" w:eastAsia="Calibri" w:hAnsi="Calibri" w:cs="Calibri"/>
                <w:sz w:val="22"/>
                <w:szCs w:val="22"/>
              </w:rPr>
              <w:t>ED Wait Time</w:t>
            </w:r>
            <w:r>
              <w:rPr>
                <w:rFonts w:ascii="Calibri" w:eastAsia="Calibri" w:hAnsi="Calibri" w:cs="Calibri"/>
                <w:sz w:val="22"/>
                <w:szCs w:val="22"/>
              </w:rPr>
              <w:t xml:space="preserve"> measures)</w:t>
            </w:r>
          </w:p>
        </w:tc>
      </w:tr>
      <w:tr w:rsidR="00030A10" w14:paraId="10966E87" w14:textId="77777777">
        <w:trPr>
          <w:trHeight w:val="560"/>
          <w:jc w:val="center"/>
        </w:trPr>
        <w:tc>
          <w:tcPr>
            <w:tcW w:w="2550" w:type="dxa"/>
            <w:tcBorders>
              <w:bottom w:val="single" w:sz="4" w:space="0" w:color="000000"/>
            </w:tcBorders>
          </w:tcPr>
          <w:p w14:paraId="6E7C166F" w14:textId="77777777" w:rsidR="00030A10" w:rsidRDefault="00556411">
            <w:pPr>
              <w:spacing w:before="0" w:after="0"/>
              <w:rPr>
                <w:rFonts w:ascii="Calibri" w:eastAsia="Calibri" w:hAnsi="Calibri" w:cs="Calibri"/>
                <w:sz w:val="22"/>
                <w:szCs w:val="22"/>
              </w:rPr>
            </w:pPr>
            <w:r>
              <w:rPr>
                <w:rFonts w:ascii="Calibri" w:eastAsia="Calibri" w:hAnsi="Calibri" w:cs="Calibri"/>
                <w:b/>
                <w:sz w:val="22"/>
                <w:szCs w:val="22"/>
              </w:rPr>
              <w:t>Safety</w:t>
            </w:r>
          </w:p>
        </w:tc>
        <w:tc>
          <w:tcPr>
            <w:tcW w:w="3645" w:type="dxa"/>
            <w:tcBorders>
              <w:bottom w:val="single" w:sz="4" w:space="0" w:color="000000"/>
            </w:tcBorders>
          </w:tcPr>
          <w:p w14:paraId="2975A579"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35 percent -5 measures: CDC NHSN HAI</w:t>
            </w:r>
          </w:p>
        </w:tc>
        <w:tc>
          <w:tcPr>
            <w:tcW w:w="3345" w:type="dxa"/>
            <w:tcBorders>
              <w:bottom w:val="single" w:sz="4" w:space="0" w:color="000000"/>
            </w:tcBorders>
          </w:tcPr>
          <w:p w14:paraId="2159E442"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25 percent 5 measures:  CDC NHSN HAI</w:t>
            </w:r>
          </w:p>
        </w:tc>
      </w:tr>
      <w:tr w:rsidR="00030A10" w14:paraId="48A5F246" w14:textId="77777777">
        <w:trPr>
          <w:trHeight w:val="480"/>
          <w:jc w:val="center"/>
        </w:trPr>
        <w:tc>
          <w:tcPr>
            <w:tcW w:w="2550" w:type="dxa"/>
            <w:tcBorders>
              <w:bottom w:val="single" w:sz="4" w:space="0" w:color="000000"/>
            </w:tcBorders>
          </w:tcPr>
          <w:p w14:paraId="761AED82" w14:textId="77777777" w:rsidR="00030A10" w:rsidRDefault="00556411">
            <w:pPr>
              <w:spacing w:before="0" w:after="0"/>
              <w:rPr>
                <w:rFonts w:ascii="Calibri" w:eastAsia="Calibri" w:hAnsi="Calibri" w:cs="Calibri"/>
                <w:sz w:val="22"/>
                <w:szCs w:val="22"/>
              </w:rPr>
            </w:pPr>
            <w:r>
              <w:rPr>
                <w:rFonts w:ascii="Calibri" w:eastAsia="Calibri" w:hAnsi="Calibri" w:cs="Calibri"/>
                <w:b/>
                <w:sz w:val="22"/>
                <w:szCs w:val="22"/>
              </w:rPr>
              <w:t>Efficiency</w:t>
            </w:r>
          </w:p>
        </w:tc>
        <w:tc>
          <w:tcPr>
            <w:tcW w:w="3645" w:type="dxa"/>
            <w:tcBorders>
              <w:bottom w:val="single" w:sz="4" w:space="0" w:color="000000"/>
            </w:tcBorders>
          </w:tcPr>
          <w:p w14:paraId="02168479"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N/A</w:t>
            </w:r>
          </w:p>
        </w:tc>
        <w:tc>
          <w:tcPr>
            <w:tcW w:w="3345" w:type="dxa"/>
            <w:tcBorders>
              <w:bottom w:val="single" w:sz="4" w:space="0" w:color="000000"/>
            </w:tcBorders>
          </w:tcPr>
          <w:p w14:paraId="34E4CD54"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25 percent-Medicare Spending Per Beneficiary measure</w:t>
            </w:r>
          </w:p>
        </w:tc>
      </w:tr>
    </w:tbl>
    <w:p w14:paraId="442EF887" w14:textId="77777777" w:rsidR="00093905" w:rsidRDefault="00093905">
      <w:pPr>
        <w:spacing w:before="0" w:after="0"/>
      </w:pPr>
    </w:p>
    <w:p w14:paraId="0573A59D" w14:textId="0600724C" w:rsidR="00030A10" w:rsidRDefault="00556411">
      <w:pPr>
        <w:spacing w:before="0" w:after="0"/>
      </w:pPr>
      <w:r>
        <w:t>With the selected measures from above, the QBR program assesses hospital performance</w:t>
      </w:r>
      <w:r w:rsidR="00502348">
        <w:t xml:space="preserve"> on an all-payer basis</w:t>
      </w:r>
      <w:r>
        <w:t xml:space="preserve">.  </w:t>
      </w:r>
      <w:r w:rsidR="0042517A">
        <w:t>Performance standards are b</w:t>
      </w:r>
      <w:r>
        <w:t>ased on the national average (threshold) and the top performance values</w:t>
      </w:r>
      <w:r w:rsidR="0042517A">
        <w:t xml:space="preserve"> (benchmark) </w:t>
      </w:r>
      <w:r>
        <w:t>for all measures</w:t>
      </w:r>
      <w:r w:rsidR="0042517A">
        <w:t>, with the exception of</w:t>
      </w:r>
      <w:r>
        <w:t xml:space="preserve"> HSCRC calculated in-hospital mortality rate</w:t>
      </w:r>
      <w:r w:rsidR="0042517A">
        <w:t>,</w:t>
      </w:r>
      <w:r w:rsidR="007223C8">
        <w:t xml:space="preserve"> which uses S</w:t>
      </w:r>
      <w:r>
        <w:t>tate data to calculate performance standards. Thus</w:t>
      </w:r>
      <w:r w:rsidR="0042517A">
        <w:t>,</w:t>
      </w:r>
      <w:r>
        <w:t xml:space="preserve"> a score of 0 percent means that performance on all measures is below the national average or not improved, while a score of 100 percent means performance on all measures is at or better than the to</w:t>
      </w:r>
      <w:r w:rsidR="007223C8">
        <w:t>p 5 percent best performing hospital</w:t>
      </w:r>
      <w:r>
        <w:t>s.  This scoring methodology is the same as the national VBP program.  However, unlike the VBP program that then relatively ranks all hospitals, the QBR program uses a preset scale to determine each hospitals revenue adjustment.</w:t>
      </w:r>
    </w:p>
    <w:p w14:paraId="40A526F1" w14:textId="216A1BE3" w:rsidR="00030A10" w:rsidRDefault="00556411">
      <w:r>
        <w:t xml:space="preserve">In the RY 2019 QBR recommendation, the Commission approved using a preset scale based on national performance to ensure that QBR revenue adjustments are linked to Maryland hospital performance relative to the nation.  Prior to RY 2019, Maryland hospitals were evaluated by national thresholds and benchmarks, but their scores were then scaled in accordance with Maryland performance, resulting in Maryland hospitals receiving financial rewards despite falling behind the nation in performance.  Consequently, the scale is now 0 to 80 percent regardless of the score of the highest performing hospital in the </w:t>
      </w:r>
      <w:r w:rsidR="007223C8">
        <w:t>S</w:t>
      </w:r>
      <w:r>
        <w:t>tate, and the cut-point</w:t>
      </w:r>
      <w:r w:rsidR="00FA587C">
        <w:t xml:space="preserve"> </w:t>
      </w:r>
      <w:r>
        <w:t xml:space="preserve">at which a hospital earns rewards in RY 2021 is 41 percent.  This reward and penalty cut-point was based on an analysis of FFY16-FFY18 National Value-Based Purchasing scores, which indicated the average national score using Maryland domain weights (i.e., without the Efficiency domain) was around 41 percent  (range 39.9 to 42.7).  </w:t>
      </w:r>
    </w:p>
    <w:p w14:paraId="1AD3BA27" w14:textId="77777777" w:rsidR="00030A10" w:rsidRDefault="00556411">
      <w:pPr>
        <w:spacing w:before="0" w:after="0"/>
      </w:pPr>
      <w:r>
        <w:t xml:space="preserve">As a recap, the methodology for calculating hospital QBR scores and associated inpatient revenue adjustments has remained essentially unchanged since RY 2019, and involves: </w:t>
      </w:r>
    </w:p>
    <w:p w14:paraId="47993266" w14:textId="77777777" w:rsidR="00030A10" w:rsidRDefault="00556411">
      <w:pPr>
        <w:numPr>
          <w:ilvl w:val="0"/>
          <w:numId w:val="6"/>
        </w:numPr>
        <w:spacing w:before="0" w:after="0"/>
        <w:ind w:left="450"/>
      </w:pPr>
      <w:r>
        <w:t xml:space="preserve">assessing performance on each measure in the domain; </w:t>
      </w:r>
    </w:p>
    <w:p w14:paraId="5B2F50CA" w14:textId="77777777" w:rsidR="00030A10" w:rsidRDefault="00556411">
      <w:pPr>
        <w:numPr>
          <w:ilvl w:val="0"/>
          <w:numId w:val="6"/>
        </w:numPr>
        <w:spacing w:before="0" w:after="0"/>
        <w:ind w:left="450"/>
      </w:pPr>
      <w:r>
        <w:t xml:space="preserve">standardizing measure scores relative to performance standards; </w:t>
      </w:r>
    </w:p>
    <w:p w14:paraId="413B3823" w14:textId="77777777" w:rsidR="00030A10" w:rsidRDefault="00556411">
      <w:pPr>
        <w:numPr>
          <w:ilvl w:val="0"/>
          <w:numId w:val="6"/>
        </w:numPr>
        <w:spacing w:before="0" w:after="0"/>
        <w:ind w:left="450"/>
      </w:pPr>
      <w:r>
        <w:t xml:space="preserve">calculating the total points a hospital earned divided by the total possible points for each domain; </w:t>
      </w:r>
    </w:p>
    <w:p w14:paraId="17E57FFE" w14:textId="77777777" w:rsidR="00030A10" w:rsidRDefault="00556411">
      <w:pPr>
        <w:numPr>
          <w:ilvl w:val="0"/>
          <w:numId w:val="6"/>
        </w:numPr>
        <w:spacing w:before="0" w:after="0"/>
        <w:ind w:left="450"/>
      </w:pPr>
      <w:r>
        <w:lastRenderedPageBreak/>
        <w:t xml:space="preserve">finalizing the total hospital QBR score (0-100 percent) by weighting the domains based on the overall percentage or importance the Commission has placed on each domain; and </w:t>
      </w:r>
    </w:p>
    <w:p w14:paraId="5A6BEE9E" w14:textId="77777777" w:rsidR="00030A10" w:rsidRDefault="00556411">
      <w:pPr>
        <w:numPr>
          <w:ilvl w:val="0"/>
          <w:numId w:val="6"/>
        </w:numPr>
        <w:spacing w:before="0" w:after="0"/>
        <w:ind w:left="450"/>
      </w:pPr>
      <w:r>
        <w:t>converting the total hospital QBR scores into revenue adjustments using the preset scale that ranges from 0 to 80 percent.</w:t>
      </w:r>
    </w:p>
    <w:p w14:paraId="79ADF7D7" w14:textId="77777777" w:rsidR="00030A10" w:rsidRDefault="00556411">
      <w:r>
        <w:t>The methodology is illustrated in Figure 2 below.</w:t>
      </w:r>
    </w:p>
    <w:p w14:paraId="2209E825" w14:textId="77777777" w:rsidR="00030A10" w:rsidRDefault="00556411">
      <w:pPr>
        <w:pBdr>
          <w:top w:val="nil"/>
          <w:left w:val="nil"/>
          <w:bottom w:val="nil"/>
          <w:right w:val="nil"/>
          <w:between w:val="nil"/>
        </w:pBdr>
        <w:rPr>
          <w:color w:val="000000"/>
        </w:rPr>
      </w:pPr>
      <w:r>
        <w:rPr>
          <w:rFonts w:ascii="Calibri" w:eastAsia="Calibri" w:hAnsi="Calibri" w:cs="Calibri"/>
          <w:b/>
          <w:color w:val="4F81BD"/>
        </w:rPr>
        <w:t>Figure 2. Process for Calculating RY 2021 QBR Scores</w:t>
      </w:r>
      <w:r>
        <w:rPr>
          <w:rFonts w:ascii="Calibri" w:eastAsia="Calibri" w:hAnsi="Calibri" w:cs="Calibri"/>
          <w:b/>
          <w:noProof/>
          <w:color w:val="4F81BD"/>
        </w:rPr>
        <w:drawing>
          <wp:inline distT="114300" distB="114300" distL="114300" distR="114300" wp14:anchorId="5A052D44" wp14:editId="13A65E73">
            <wp:extent cx="5943600" cy="37465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746500"/>
                    </a:xfrm>
                    <a:prstGeom prst="rect">
                      <a:avLst/>
                    </a:prstGeom>
                    <a:ln/>
                  </pic:spPr>
                </pic:pic>
              </a:graphicData>
            </a:graphic>
          </wp:inline>
        </w:drawing>
      </w:r>
      <w:r>
        <w:rPr>
          <w:rFonts w:ascii="Calibri" w:eastAsia="Calibri" w:hAnsi="Calibri" w:cs="Calibri"/>
          <w:b/>
          <w:color w:val="4F81BD"/>
        </w:rPr>
        <w:t xml:space="preserve">  </w:t>
      </w:r>
      <w:r>
        <w:t>Appendix II contains further background and technical details about the QBR and VBP programs.</w:t>
      </w:r>
    </w:p>
    <w:p w14:paraId="37D69BBC" w14:textId="77777777" w:rsidR="007223C8" w:rsidRPr="00DD1B04" w:rsidRDefault="007223C8" w:rsidP="00DD1B04"/>
    <w:p w14:paraId="4C4106EF" w14:textId="74D20354" w:rsidR="00030A10" w:rsidRDefault="00556411">
      <w:pPr>
        <w:pStyle w:val="Heading1"/>
        <w:spacing w:after="0"/>
      </w:pPr>
      <w:bookmarkStart w:id="5" w:name="_Toc26345140"/>
      <w:r>
        <w:t>A</w:t>
      </w:r>
      <w:r w:rsidR="007223C8">
        <w:t>ssessment</w:t>
      </w:r>
      <w:bookmarkEnd w:id="5"/>
    </w:p>
    <w:p w14:paraId="75B3D9DC" w14:textId="480C9DE2" w:rsidR="00030A10" w:rsidRDefault="00556411">
      <w:pPr>
        <w:pBdr>
          <w:top w:val="nil"/>
          <w:left w:val="nil"/>
          <w:bottom w:val="nil"/>
          <w:right w:val="nil"/>
          <w:between w:val="nil"/>
        </w:pBdr>
        <w:rPr>
          <w:color w:val="000000"/>
        </w:rPr>
      </w:pPr>
      <w:bookmarkStart w:id="6" w:name="_2s8eyo1" w:colFirst="0" w:colLast="0"/>
      <w:bookmarkEnd w:id="6"/>
      <w:r>
        <w:rPr>
          <w:color w:val="000000"/>
        </w:rPr>
        <w:t xml:space="preserve">The purpose of this section is to present an assessment, </w:t>
      </w:r>
      <w:r>
        <w:t>using the most current data available,</w:t>
      </w:r>
      <w:r>
        <w:rPr>
          <w:color w:val="000000"/>
        </w:rPr>
        <w:t xml:space="preserve"> of Maryland’s performance on measures </w:t>
      </w:r>
      <w:r>
        <w:t xml:space="preserve">used in QBR as well as other measures </w:t>
      </w:r>
      <w:r>
        <w:rPr>
          <w:color w:val="000000"/>
        </w:rPr>
        <w:t>where national comparisons are available</w:t>
      </w:r>
      <w:r>
        <w:t xml:space="preserve">.  The assessment, </w:t>
      </w:r>
      <w:r>
        <w:rPr>
          <w:color w:val="000000"/>
        </w:rPr>
        <w:t>together with the deliberations of the Performance Measurement Workgroup (PMWG),</w:t>
      </w:r>
      <w:r>
        <w:t xml:space="preserve"> </w:t>
      </w:r>
      <w:r>
        <w:rPr>
          <w:color w:val="000000"/>
        </w:rPr>
        <w:t>serve as the basis for the recommendations for the RY 202</w:t>
      </w:r>
      <w:r>
        <w:t>2</w:t>
      </w:r>
      <w:r>
        <w:rPr>
          <w:color w:val="000000"/>
        </w:rPr>
        <w:t xml:space="preserve"> QBR program.  In addition, staff ha</w:t>
      </w:r>
      <w:r>
        <w:t>s</w:t>
      </w:r>
      <w:r>
        <w:rPr>
          <w:color w:val="000000"/>
        </w:rPr>
        <w:t xml:space="preserve"> modeled the QBR revenue adjustments with the recommended changes.</w:t>
      </w:r>
    </w:p>
    <w:p w14:paraId="0FB9C15D" w14:textId="77777777" w:rsidR="00030A10" w:rsidRDefault="00556411">
      <w:pPr>
        <w:pStyle w:val="Heading2"/>
      </w:pPr>
      <w:bookmarkStart w:id="7" w:name="_Toc26345141"/>
      <w:r>
        <w:lastRenderedPageBreak/>
        <w:t>Maryland Performance by QBR Domain</w:t>
      </w:r>
      <w:bookmarkEnd w:id="7"/>
      <w:r>
        <w:t xml:space="preserve"> </w:t>
      </w:r>
    </w:p>
    <w:p w14:paraId="643BCAC0" w14:textId="77777777" w:rsidR="00030A10" w:rsidRDefault="00556411">
      <w:pPr>
        <w:pStyle w:val="Heading3"/>
      </w:pPr>
      <w:bookmarkStart w:id="8" w:name="_4yc0z9uscb3p" w:colFirst="0" w:colLast="0"/>
      <w:bookmarkEnd w:id="8"/>
      <w:r>
        <w:t xml:space="preserve"> </w:t>
      </w:r>
      <w:bookmarkStart w:id="9" w:name="_Toc26345142"/>
      <w:r>
        <w:t>Person and Community Engagement Domain</w:t>
      </w:r>
      <w:bookmarkEnd w:id="9"/>
    </w:p>
    <w:p w14:paraId="64DE09E7" w14:textId="77777777" w:rsidR="00030A10" w:rsidRDefault="00556411">
      <w:pPr>
        <w:pBdr>
          <w:top w:val="nil"/>
          <w:left w:val="nil"/>
          <w:bottom w:val="nil"/>
          <w:right w:val="nil"/>
          <w:between w:val="nil"/>
        </w:pBdr>
        <w:rPr>
          <w:color w:val="000000"/>
        </w:rPr>
      </w:pPr>
      <w:r>
        <w:t>During RY 2020, t</w:t>
      </w:r>
      <w:r>
        <w:rPr>
          <w:color w:val="000000"/>
        </w:rPr>
        <w:t xml:space="preserve">he </w:t>
      </w:r>
      <w:r>
        <w:rPr>
          <w:b/>
          <w:color w:val="000000"/>
        </w:rPr>
        <w:t>Person and Community Engagement</w:t>
      </w:r>
      <w:r>
        <w:rPr>
          <w:color w:val="000000"/>
        </w:rPr>
        <w:t xml:space="preserve"> domain measure</w:t>
      </w:r>
      <w:r>
        <w:t>d</w:t>
      </w:r>
      <w:r>
        <w:rPr>
          <w:color w:val="000000"/>
        </w:rPr>
        <w:t xml:space="preserve"> performance using the HCAHPS patient survey, as well as </w:t>
      </w:r>
      <w:r>
        <w:t xml:space="preserve">two </w:t>
      </w:r>
      <w:r>
        <w:rPr>
          <w:color w:val="000000"/>
        </w:rPr>
        <w:t xml:space="preserve">emergency department wait time measures for admitted patients.  The addition of the emergency department wait time measures </w:t>
      </w:r>
      <w:r>
        <w:t>wa</w:t>
      </w:r>
      <w:r>
        <w:rPr>
          <w:color w:val="000000"/>
        </w:rPr>
        <w:t xml:space="preserve">s an example of Maryland’s quality programs differing from the nation to target an area of concern. </w:t>
      </w:r>
    </w:p>
    <w:p w14:paraId="352EE12C" w14:textId="77777777" w:rsidR="00030A10" w:rsidRDefault="00556411">
      <w:pPr>
        <w:pStyle w:val="Heading4"/>
        <w:spacing w:after="200"/>
        <w:ind w:firstLine="720"/>
      </w:pPr>
      <w:bookmarkStart w:id="10" w:name="_9tgfx9tmlf0d" w:colFirst="0" w:colLast="0"/>
      <w:bookmarkEnd w:id="10"/>
      <w:r>
        <w:t xml:space="preserve">Hospital Consumer Assessment of Healthcare Providers and Systems (HCAHPS) </w:t>
      </w:r>
    </w:p>
    <w:p w14:paraId="6281314B" w14:textId="77777777" w:rsidR="00030A10" w:rsidRDefault="00556411">
      <w:pPr>
        <w:spacing w:before="0" w:after="0"/>
      </w:pPr>
      <w:r>
        <w:t xml:space="preserve">Figure 3 below provides a graphic representation of the HCAHPS measure results for the RY 2020 base and performance periods for Maryland compared to the Nation, revealing that Maryland continues to lag behind the Nation, but both the Nation and Maryland are improving at similar rates overall. </w:t>
      </w:r>
    </w:p>
    <w:p w14:paraId="114D020F" w14:textId="77777777" w:rsidR="00030A10" w:rsidRDefault="00556411">
      <w:pPr>
        <w:spacing w:after="0"/>
        <w:ind w:left="720"/>
        <w:jc w:val="center"/>
        <w:rPr>
          <w:rFonts w:ascii="Calibri" w:eastAsia="Calibri" w:hAnsi="Calibri" w:cs="Calibri"/>
          <w:b/>
          <w:color w:val="4F81BD"/>
        </w:rPr>
      </w:pPr>
      <w:r>
        <w:rPr>
          <w:rFonts w:ascii="Calibri" w:eastAsia="Calibri" w:hAnsi="Calibri" w:cs="Calibri"/>
          <w:b/>
          <w:color w:val="4F81BD"/>
        </w:rPr>
        <w:t xml:space="preserve">Figure 3.  HCAHPS Results: Maryland Compared to the Nation for RY 2020 </w:t>
      </w:r>
      <w:r>
        <w:rPr>
          <w:rFonts w:ascii="Calibri" w:eastAsia="Calibri" w:hAnsi="Calibri" w:cs="Calibri"/>
          <w:b/>
          <w:noProof/>
          <w:color w:val="4F81BD"/>
        </w:rPr>
        <w:drawing>
          <wp:inline distT="114300" distB="114300" distL="114300" distR="114300" wp14:anchorId="708225F6" wp14:editId="4BF73372">
            <wp:extent cx="5514975" cy="30765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14975" cy="3076575"/>
                    </a:xfrm>
                    <a:prstGeom prst="rect">
                      <a:avLst/>
                    </a:prstGeom>
                    <a:ln/>
                  </pic:spPr>
                </pic:pic>
              </a:graphicData>
            </a:graphic>
          </wp:inline>
        </w:drawing>
      </w:r>
    </w:p>
    <w:p w14:paraId="5254BDEF" w14:textId="77777777" w:rsidR="00030A10" w:rsidRDefault="00556411">
      <w:pPr>
        <w:spacing w:after="0"/>
      </w:pPr>
      <w:r>
        <w:t xml:space="preserve">For each HCAHPS measure, the changes over time from the base to the performance period for Maryland and the Nation, and the gaps in performance between Maryland and the Nation, are provided below.  </w:t>
      </w:r>
    </w:p>
    <w:p w14:paraId="1807546A" w14:textId="77777777" w:rsidR="00030A10" w:rsidRDefault="00556411">
      <w:pPr>
        <w:numPr>
          <w:ilvl w:val="0"/>
          <w:numId w:val="5"/>
        </w:numPr>
        <w:spacing w:after="0"/>
        <w:ind w:left="270"/>
      </w:pPr>
      <w:r>
        <w:rPr>
          <w:b/>
        </w:rPr>
        <w:t>Communication with nurses-</w:t>
      </w:r>
      <w:r>
        <w:t xml:space="preserve"> Maryland and the Nation both improved by 1 percent, and the gap remained the same with Maryland -5 percent below (worse than) the Nation.</w:t>
      </w:r>
    </w:p>
    <w:p w14:paraId="6C3E3122" w14:textId="13E6C2D7" w:rsidR="00030A10" w:rsidRDefault="00556411">
      <w:pPr>
        <w:numPr>
          <w:ilvl w:val="0"/>
          <w:numId w:val="5"/>
        </w:numPr>
        <w:spacing w:before="0" w:after="0"/>
        <w:ind w:left="270"/>
      </w:pPr>
      <w:r>
        <w:rPr>
          <w:b/>
        </w:rPr>
        <w:t>Communication with doctors-</w:t>
      </w:r>
      <w:r>
        <w:t xml:space="preserve"> Maryland remained the same, while the Nation decreased by 1 percent, and the gap lessened for Maryland from -5 percent to -4 percent below the Nation.</w:t>
      </w:r>
    </w:p>
    <w:p w14:paraId="28EFE242" w14:textId="16CD7A44" w:rsidR="00030A10" w:rsidRDefault="00556411">
      <w:pPr>
        <w:numPr>
          <w:ilvl w:val="0"/>
          <w:numId w:val="5"/>
        </w:numPr>
        <w:spacing w:before="0" w:after="0"/>
        <w:ind w:left="270"/>
      </w:pPr>
      <w:r>
        <w:rPr>
          <w:b/>
        </w:rPr>
        <w:lastRenderedPageBreak/>
        <w:t xml:space="preserve">Responsiveness of hospital staff- </w:t>
      </w:r>
      <w:r>
        <w:t>Maryland remained the same while the Nation improved by 1 percent, and the gap widened for Maryland from -9 percent to -10 percent below the Nation.</w:t>
      </w:r>
    </w:p>
    <w:p w14:paraId="15C7D007" w14:textId="63D8331B" w:rsidR="00030A10" w:rsidRDefault="00556411">
      <w:pPr>
        <w:numPr>
          <w:ilvl w:val="0"/>
          <w:numId w:val="5"/>
        </w:numPr>
        <w:spacing w:before="0" w:after="0"/>
        <w:ind w:left="270"/>
      </w:pPr>
      <w:r>
        <w:rPr>
          <w:b/>
        </w:rPr>
        <w:t>Communication about medicine</w:t>
      </w:r>
      <w:r>
        <w:t xml:space="preserve"> Maryland improved by 1 percent and the Nation remained the same, and the gap decreased for Maryland from -6 percent to -5 percent below the Nation.</w:t>
      </w:r>
    </w:p>
    <w:p w14:paraId="2D844C0D" w14:textId="77777777" w:rsidR="00030A10" w:rsidRDefault="00556411">
      <w:pPr>
        <w:numPr>
          <w:ilvl w:val="0"/>
          <w:numId w:val="5"/>
        </w:numPr>
        <w:spacing w:before="0" w:after="0"/>
        <w:ind w:left="270"/>
      </w:pPr>
      <w:r>
        <w:rPr>
          <w:b/>
        </w:rPr>
        <w:t>Cleanliness and quietness-</w:t>
      </w:r>
      <w:r>
        <w:t xml:space="preserve"> Maryland and the Nation remained the same, and the gap remained the same for Maryland at -6 percent below the Nation.</w:t>
      </w:r>
    </w:p>
    <w:p w14:paraId="47664858" w14:textId="77777777" w:rsidR="00030A10" w:rsidRDefault="00556411">
      <w:pPr>
        <w:numPr>
          <w:ilvl w:val="0"/>
          <w:numId w:val="5"/>
        </w:numPr>
        <w:spacing w:before="0" w:after="0"/>
        <w:ind w:left="270"/>
      </w:pPr>
      <w:r>
        <w:rPr>
          <w:b/>
        </w:rPr>
        <w:t>Discharge information-</w:t>
      </w:r>
      <w:r>
        <w:t xml:space="preserve"> Maryland and the Nation remained the same, and the gap remained the same for Maryland at -1 percent below the Nation.</w:t>
      </w:r>
    </w:p>
    <w:p w14:paraId="39F22598" w14:textId="03A2177A" w:rsidR="00030A10" w:rsidRDefault="001B1684">
      <w:pPr>
        <w:numPr>
          <w:ilvl w:val="0"/>
          <w:numId w:val="5"/>
        </w:numPr>
        <w:spacing w:before="0" w:after="0"/>
        <w:ind w:left="270"/>
      </w:pPr>
      <w:r>
        <w:rPr>
          <w:b/>
        </w:rPr>
        <w:t xml:space="preserve">Care transition measure- </w:t>
      </w:r>
      <w:r w:rsidR="00556411">
        <w:t>Maryland</w:t>
      </w:r>
      <w:r w:rsidR="00556411">
        <w:rPr>
          <w:b/>
        </w:rPr>
        <w:t xml:space="preserve"> </w:t>
      </w:r>
      <w:r w:rsidR="00556411">
        <w:t>improved by 2 percent and the Nation improved by 1 percent, and the gap decreased for Maryland from -5 percent to -4 percent below the Nation.</w:t>
      </w:r>
    </w:p>
    <w:p w14:paraId="199918F4" w14:textId="77777777" w:rsidR="00030A10" w:rsidRDefault="00556411">
      <w:pPr>
        <w:numPr>
          <w:ilvl w:val="0"/>
          <w:numId w:val="5"/>
        </w:numPr>
        <w:spacing w:before="0" w:after="0"/>
        <w:ind w:left="270"/>
      </w:pPr>
      <w:r>
        <w:rPr>
          <w:b/>
        </w:rPr>
        <w:t>Overall rating of hospital-</w:t>
      </w:r>
      <w:r>
        <w:t xml:space="preserve"> Maryland and the Nation remained the same, and the gap remained the same for Maryland at -8 percent below the Nation.</w:t>
      </w:r>
    </w:p>
    <w:p w14:paraId="215F0F3A" w14:textId="77777777" w:rsidR="00030A10" w:rsidRDefault="00030A10">
      <w:pPr>
        <w:spacing w:before="0" w:after="0"/>
      </w:pPr>
    </w:p>
    <w:p w14:paraId="56D7DB97" w14:textId="37DB8C03" w:rsidR="00030A10" w:rsidRDefault="00556411">
      <w:pPr>
        <w:spacing w:before="0" w:after="0"/>
      </w:pPr>
      <w:r>
        <w:t>While the statewide data suggests that Maryland continues to lag behind the Nation on HCAHPS measures, there is variability in performance across individual hospitals, with some performing better than the national average on each measure. Furthermore, while the statewide improvements were modest, there were individual hospitals with significant improvements on each measure (Appendix III).</w:t>
      </w:r>
      <w:r w:rsidR="00D85FD0">
        <w:t xml:space="preserve">  Nevertheless, staff remains concerned about overall statewide performance relative to the Nation and will continue to consider additional incentive structures to improve performance as part of the QBR redesign.</w:t>
      </w:r>
      <w:r>
        <w:t xml:space="preserve"> </w:t>
      </w:r>
    </w:p>
    <w:p w14:paraId="3210208C" w14:textId="77777777" w:rsidR="00030A10" w:rsidRDefault="00556411">
      <w:pPr>
        <w:spacing w:before="0" w:after="0"/>
      </w:pPr>
      <w:r>
        <w:t xml:space="preserve"> </w:t>
      </w:r>
    </w:p>
    <w:p w14:paraId="2FBD7BE5" w14:textId="5B421E35" w:rsidR="00030A10" w:rsidRDefault="00D85FD0">
      <w:pPr>
        <w:spacing w:before="0" w:after="0"/>
      </w:pPr>
      <w:r>
        <w:t>An additional concern raised by hospitals is</w:t>
      </w:r>
      <w:r w:rsidR="00556411">
        <w:t xml:space="preserve"> the potential impact of the </w:t>
      </w:r>
      <w:r w:rsidR="00C002FD">
        <w:t xml:space="preserve">HCAHPS </w:t>
      </w:r>
      <w:r w:rsidR="00556411">
        <w:t>patient mix adjustment changes between the base and performance periods at the federal level</w:t>
      </w:r>
      <w:r w:rsidR="005A6A9D">
        <w:t xml:space="preserve"> </w:t>
      </w:r>
      <w:r>
        <w:t>This adjustment</w:t>
      </w:r>
      <w:r w:rsidR="00C002FD">
        <w:t>,</w:t>
      </w:r>
      <w:r>
        <w:t xml:space="preserve"> </w:t>
      </w:r>
      <w:r w:rsidR="00C002FD">
        <w:t xml:space="preserve">which </w:t>
      </w:r>
      <w:r>
        <w:t>accounts</w:t>
      </w:r>
      <w:r w:rsidR="00C002FD">
        <w:t xml:space="preserve"> for the probability of a patient’s positive response on a survey relative to other sets of patients, e.g. 55-64 year olds versus individuals over 85, should ideally be consistent in the base and performance periods.</w:t>
      </w:r>
      <w:r>
        <w:t xml:space="preserve"> </w:t>
      </w:r>
      <w:r w:rsidR="00C002FD">
        <w:t>However, CMS</w:t>
      </w:r>
      <w:r w:rsidR="00556411">
        <w:t xml:space="preserve"> has advised staff that these changes occur on an ongoing basis and are not considered materially significant for the VBP program. Further, staff believes that the changes in any given year may slightly benefit or disadvantage each hospital on their respective QBR scores, but recognizes that the use of the prospective preset scale may make this issue more of a concern in Maryland. </w:t>
      </w:r>
      <w:r w:rsidR="00556411">
        <w:rPr>
          <w:vertAlign w:val="superscript"/>
        </w:rPr>
        <w:footnoteReference w:id="8"/>
      </w:r>
      <w:r w:rsidR="00556411">
        <w:t xml:space="preserve">  Therefore, staff proposes again to work with QBR redesign subgroup to be convened in CY 2020 and the PMWG to evaluate the impact, if any, of the patient mix adjustment changes for RYs 2019 through 2021, but does not believe retrospective revenue adjustments are warranted at this time. Staff may re-visit this position with the Commission should analysis determine the patient mix adjustment changes are materially significant.</w:t>
      </w:r>
    </w:p>
    <w:p w14:paraId="1346BC49" w14:textId="77777777" w:rsidR="00030A10" w:rsidRDefault="00030A10">
      <w:pPr>
        <w:spacing w:before="0" w:after="0"/>
      </w:pPr>
    </w:p>
    <w:p w14:paraId="18336E91" w14:textId="552F9B0B" w:rsidR="00030A10" w:rsidRDefault="00556411" w:rsidP="009A407D">
      <w:pPr>
        <w:pStyle w:val="Heading4"/>
        <w:spacing w:before="0" w:after="0"/>
        <w:ind w:firstLine="720"/>
      </w:pPr>
      <w:bookmarkStart w:id="11" w:name="_fe6v86tc23si" w:colFirst="0" w:colLast="0"/>
      <w:bookmarkEnd w:id="11"/>
      <w:r>
        <w:br w:type="page"/>
      </w:r>
      <w:bookmarkStart w:id="12" w:name="_uf75w8pc19bz" w:colFirst="0" w:colLast="0"/>
      <w:bookmarkEnd w:id="12"/>
      <w:r>
        <w:lastRenderedPageBreak/>
        <w:t>Emergency Department Wait Times</w:t>
      </w:r>
    </w:p>
    <w:p w14:paraId="08255D43" w14:textId="77777777" w:rsidR="00030A10" w:rsidRDefault="00030A10">
      <w:pPr>
        <w:spacing w:before="0" w:after="0"/>
      </w:pPr>
    </w:p>
    <w:p w14:paraId="1C7789BE" w14:textId="23FE814A" w:rsidR="00030A10" w:rsidRDefault="00556411">
      <w:pPr>
        <w:spacing w:before="0" w:after="0"/>
      </w:pPr>
      <w:r>
        <w:t>Emergency Department wait time measures have been publicly reported nationally on Hospital Compare since 2012 for patients admitted (ED-1b and ED-2b), and since 2014 for patients treated and released (OP-18b). The measure definitions are provided below in Figure 4. Based upon Maryland’s sustained poor performance on these ED throughput measures, the Commission voted to include the two ED Wait Time measures for admitted patients as part of the QBR program for RY 2020.</w:t>
      </w:r>
      <w:r>
        <w:rPr>
          <w:vertAlign w:val="superscript"/>
        </w:rPr>
        <w:footnoteReference w:id="9"/>
      </w:r>
      <w:r>
        <w:t xml:space="preserve">  As CMS has discontinued mandatory data collection for ED-1b after CY 2018, this measure was removed from QBR for the RY 2021 policy; further, the ED-2b measure will be removed from CMS mandatory data submission requirements after CY 201</w:t>
      </w:r>
      <w:r w:rsidR="007223C8">
        <w:t>9, necessitating its removal from</w:t>
      </w:r>
      <w:r>
        <w:t xml:space="preserve"> the RY 2022 QBR program.    </w:t>
      </w:r>
    </w:p>
    <w:p w14:paraId="30EBEC8E" w14:textId="77777777" w:rsidR="00030A10" w:rsidRDefault="00030A10">
      <w:pPr>
        <w:spacing w:before="0" w:after="0"/>
        <w:rPr>
          <w:rFonts w:ascii="Calibri" w:eastAsia="Calibri" w:hAnsi="Calibri" w:cs="Calibri"/>
          <w:b/>
          <w:color w:val="4F81BD"/>
        </w:rPr>
      </w:pPr>
    </w:p>
    <w:p w14:paraId="65DED5B5" w14:textId="77777777" w:rsidR="00030A10" w:rsidRDefault="00556411">
      <w:pPr>
        <w:spacing w:before="0" w:after="0"/>
        <w:rPr>
          <w:rFonts w:ascii="Calibri" w:eastAsia="Calibri" w:hAnsi="Calibri" w:cs="Calibri"/>
          <w:b/>
          <w:color w:val="4F81BD"/>
        </w:rPr>
      </w:pPr>
      <w:r>
        <w:rPr>
          <w:rFonts w:ascii="Calibri" w:eastAsia="Calibri" w:hAnsi="Calibri" w:cs="Calibri"/>
          <w:b/>
          <w:color w:val="4F81BD"/>
        </w:rPr>
        <w:t>Figure 4. CMS ED Wait Time Measures</w:t>
      </w:r>
    </w:p>
    <w:tbl>
      <w:tblPr>
        <w:tblStyle w:val="a0"/>
        <w:tblW w:w="10124" w:type="dxa"/>
        <w:tblLayout w:type="fixed"/>
        <w:tblLook w:val="0000" w:firstRow="0" w:lastRow="0" w:firstColumn="0" w:lastColumn="0" w:noHBand="0" w:noVBand="0"/>
      </w:tblPr>
      <w:tblGrid>
        <w:gridCol w:w="1515"/>
        <w:gridCol w:w="8609"/>
      </w:tblGrid>
      <w:tr w:rsidR="00030A10" w14:paraId="39A771D8" w14:textId="77777777">
        <w:trPr>
          <w:trHeight w:val="260"/>
        </w:trPr>
        <w:tc>
          <w:tcPr>
            <w:tcW w:w="1515"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30B95D97" w14:textId="77777777" w:rsidR="00030A10" w:rsidRDefault="00556411">
            <w:pPr>
              <w:spacing w:before="0" w:after="0"/>
              <w:jc w:val="center"/>
              <w:rPr>
                <w:rFonts w:ascii="Arial" w:eastAsia="Arial" w:hAnsi="Arial" w:cs="Arial"/>
                <w:sz w:val="22"/>
                <w:szCs w:val="22"/>
              </w:rPr>
            </w:pPr>
            <w:r>
              <w:rPr>
                <w:rFonts w:ascii="Arial" w:eastAsia="Arial" w:hAnsi="Arial" w:cs="Arial"/>
                <w:b/>
                <w:sz w:val="22"/>
                <w:szCs w:val="22"/>
              </w:rPr>
              <w:t>Measure ID</w:t>
            </w:r>
          </w:p>
        </w:tc>
        <w:tc>
          <w:tcPr>
            <w:tcW w:w="8609"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524845B7" w14:textId="77777777" w:rsidR="00030A10" w:rsidRDefault="00556411">
            <w:pPr>
              <w:spacing w:before="0" w:after="0"/>
              <w:jc w:val="center"/>
              <w:rPr>
                <w:rFonts w:ascii="Arial" w:eastAsia="Arial" w:hAnsi="Arial" w:cs="Arial"/>
                <w:sz w:val="22"/>
                <w:szCs w:val="22"/>
              </w:rPr>
            </w:pPr>
            <w:r>
              <w:rPr>
                <w:rFonts w:ascii="Arial" w:eastAsia="Arial" w:hAnsi="Arial" w:cs="Arial"/>
                <w:b/>
                <w:sz w:val="22"/>
                <w:szCs w:val="22"/>
              </w:rPr>
              <w:t>Measure Title</w:t>
            </w:r>
          </w:p>
        </w:tc>
      </w:tr>
      <w:tr w:rsidR="00030A10" w14:paraId="12C6E7FC" w14:textId="77777777">
        <w:trPr>
          <w:trHeight w:val="400"/>
        </w:trPr>
        <w:tc>
          <w:tcPr>
            <w:tcW w:w="1515"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67C748AD" w14:textId="77777777" w:rsidR="00030A10" w:rsidRDefault="00556411">
            <w:pPr>
              <w:spacing w:before="0" w:after="0"/>
              <w:rPr>
                <w:rFonts w:ascii="Arial" w:eastAsia="Arial" w:hAnsi="Arial" w:cs="Arial"/>
                <w:color w:val="042C4F"/>
                <w:sz w:val="22"/>
                <w:szCs w:val="22"/>
              </w:rPr>
            </w:pPr>
            <w:r>
              <w:rPr>
                <w:rFonts w:ascii="Arial" w:eastAsia="Arial" w:hAnsi="Arial" w:cs="Arial"/>
                <w:color w:val="042C4F"/>
                <w:sz w:val="22"/>
                <w:szCs w:val="22"/>
              </w:rPr>
              <w:t>ED-1b</w:t>
            </w:r>
          </w:p>
        </w:tc>
        <w:tc>
          <w:tcPr>
            <w:tcW w:w="8609"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633C138D" w14:textId="77777777" w:rsidR="00030A10" w:rsidRDefault="00556411">
            <w:pPr>
              <w:spacing w:before="0" w:after="0"/>
              <w:rPr>
                <w:rFonts w:ascii="Arial" w:eastAsia="Arial" w:hAnsi="Arial" w:cs="Arial"/>
                <w:color w:val="000000"/>
                <w:sz w:val="22"/>
                <w:szCs w:val="22"/>
              </w:rPr>
            </w:pPr>
            <w:r>
              <w:rPr>
                <w:rFonts w:ascii="Arial" w:eastAsia="Arial" w:hAnsi="Arial" w:cs="Arial"/>
                <w:color w:val="000000"/>
                <w:sz w:val="22"/>
                <w:szCs w:val="22"/>
              </w:rPr>
              <w:t>Median time from emergency department arrival to emergency department departure for admitted emergency department patients</w:t>
            </w:r>
          </w:p>
        </w:tc>
      </w:tr>
      <w:tr w:rsidR="00030A10" w14:paraId="2C68E5EF" w14:textId="77777777">
        <w:trPr>
          <w:trHeight w:val="20"/>
        </w:trPr>
        <w:tc>
          <w:tcPr>
            <w:tcW w:w="1515"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73BE6744" w14:textId="77777777" w:rsidR="00030A10" w:rsidRDefault="00556411">
            <w:pPr>
              <w:spacing w:before="0" w:after="0"/>
              <w:rPr>
                <w:rFonts w:ascii="Arial" w:eastAsia="Arial" w:hAnsi="Arial" w:cs="Arial"/>
                <w:color w:val="042C4F"/>
                <w:sz w:val="22"/>
                <w:szCs w:val="22"/>
              </w:rPr>
            </w:pPr>
            <w:r>
              <w:rPr>
                <w:rFonts w:ascii="Arial" w:eastAsia="Arial" w:hAnsi="Arial" w:cs="Arial"/>
                <w:color w:val="042C4F"/>
                <w:sz w:val="22"/>
                <w:szCs w:val="22"/>
              </w:rPr>
              <w:t>ED-2b</w:t>
            </w:r>
          </w:p>
        </w:tc>
        <w:tc>
          <w:tcPr>
            <w:tcW w:w="8609"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6A8C88CC" w14:textId="77777777" w:rsidR="00030A10" w:rsidRDefault="00556411">
            <w:pPr>
              <w:spacing w:before="0" w:after="0"/>
              <w:rPr>
                <w:rFonts w:ascii="Arial" w:eastAsia="Arial" w:hAnsi="Arial" w:cs="Arial"/>
                <w:color w:val="000000"/>
                <w:sz w:val="22"/>
                <w:szCs w:val="22"/>
              </w:rPr>
            </w:pPr>
            <w:r>
              <w:rPr>
                <w:rFonts w:ascii="Arial" w:eastAsia="Arial" w:hAnsi="Arial" w:cs="Arial"/>
                <w:color w:val="000000"/>
                <w:sz w:val="22"/>
                <w:szCs w:val="22"/>
              </w:rPr>
              <w:t>Admit decision time to emergency department departure time for admitted patient</w:t>
            </w:r>
          </w:p>
        </w:tc>
      </w:tr>
      <w:tr w:rsidR="00030A10" w14:paraId="46A36803" w14:textId="77777777">
        <w:trPr>
          <w:trHeight w:val="60"/>
        </w:trPr>
        <w:tc>
          <w:tcPr>
            <w:tcW w:w="1515"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4F49C3E9" w14:textId="77777777" w:rsidR="00030A10" w:rsidRDefault="00556411">
            <w:pPr>
              <w:spacing w:before="0" w:after="0"/>
              <w:rPr>
                <w:rFonts w:ascii="Arial" w:eastAsia="Arial" w:hAnsi="Arial" w:cs="Arial"/>
                <w:color w:val="042C4F"/>
                <w:sz w:val="22"/>
                <w:szCs w:val="22"/>
              </w:rPr>
            </w:pPr>
            <w:r>
              <w:rPr>
                <w:rFonts w:ascii="Arial" w:eastAsia="Arial" w:hAnsi="Arial" w:cs="Arial"/>
                <w:color w:val="042C4F"/>
                <w:sz w:val="22"/>
                <w:szCs w:val="22"/>
              </w:rPr>
              <w:t>OP-18b*</w:t>
            </w:r>
          </w:p>
        </w:tc>
        <w:tc>
          <w:tcPr>
            <w:tcW w:w="8609" w:type="dxa"/>
            <w:tcBorders>
              <w:top w:val="single" w:sz="6" w:space="0" w:color="BBBBBB"/>
              <w:left w:val="single" w:sz="6" w:space="0" w:color="BBBBBB"/>
              <w:bottom w:val="single" w:sz="6" w:space="0" w:color="BBBBBB"/>
              <w:right w:val="single" w:sz="6" w:space="0" w:color="BBBBBB"/>
            </w:tcBorders>
            <w:shd w:val="clear" w:color="auto" w:fill="FFFFFF"/>
            <w:tcMar>
              <w:top w:w="150" w:type="dxa"/>
              <w:left w:w="150" w:type="dxa"/>
              <w:bottom w:w="150" w:type="dxa"/>
              <w:right w:w="150" w:type="dxa"/>
            </w:tcMar>
          </w:tcPr>
          <w:p w14:paraId="5BEDA36D" w14:textId="77777777" w:rsidR="00030A10" w:rsidRDefault="00556411">
            <w:pPr>
              <w:spacing w:before="0" w:after="0"/>
              <w:rPr>
                <w:rFonts w:ascii="Arial" w:eastAsia="Arial" w:hAnsi="Arial" w:cs="Arial"/>
                <w:color w:val="000000"/>
                <w:sz w:val="22"/>
                <w:szCs w:val="22"/>
              </w:rPr>
            </w:pPr>
            <w:r>
              <w:rPr>
                <w:rFonts w:ascii="Arial" w:eastAsia="Arial" w:hAnsi="Arial" w:cs="Arial"/>
                <w:color w:val="000000"/>
                <w:sz w:val="22"/>
                <w:szCs w:val="22"/>
              </w:rPr>
              <w:t>Emergency department arrival time to departure time for discharged patients.</w:t>
            </w:r>
          </w:p>
        </w:tc>
      </w:tr>
    </w:tbl>
    <w:p w14:paraId="05DA05A6" w14:textId="77777777" w:rsidR="00030A10" w:rsidRDefault="00556411">
      <w:pPr>
        <w:pBdr>
          <w:top w:val="nil"/>
          <w:left w:val="nil"/>
          <w:bottom w:val="nil"/>
          <w:right w:val="nil"/>
          <w:between w:val="nil"/>
        </w:pBdr>
        <w:spacing w:before="0" w:after="0"/>
        <w:rPr>
          <w:color w:val="000000"/>
          <w:sz w:val="20"/>
          <w:szCs w:val="20"/>
        </w:rPr>
      </w:pPr>
      <w:r>
        <w:rPr>
          <w:color w:val="000000"/>
          <w:sz w:val="20"/>
          <w:szCs w:val="20"/>
        </w:rPr>
        <w:t xml:space="preserve">*OP-18 </w:t>
      </w:r>
      <w:r>
        <w:rPr>
          <w:sz w:val="20"/>
          <w:szCs w:val="20"/>
        </w:rPr>
        <w:t>was not included</w:t>
      </w:r>
      <w:r>
        <w:rPr>
          <w:color w:val="000000"/>
          <w:sz w:val="20"/>
          <w:szCs w:val="20"/>
        </w:rPr>
        <w:t xml:space="preserve"> in the RY 2021 Program. OP-18b strata includes non-psychiatric patients and OP-18c strata includes psychiatric patients.</w:t>
      </w:r>
    </w:p>
    <w:p w14:paraId="18175A85" w14:textId="77777777" w:rsidR="00030A10" w:rsidRDefault="00030A10">
      <w:pPr>
        <w:pBdr>
          <w:top w:val="nil"/>
          <w:left w:val="nil"/>
          <w:bottom w:val="nil"/>
          <w:right w:val="nil"/>
          <w:between w:val="nil"/>
        </w:pBdr>
        <w:spacing w:before="0" w:after="0"/>
        <w:rPr>
          <w:color w:val="000000"/>
          <w:sz w:val="20"/>
          <w:szCs w:val="20"/>
        </w:rPr>
      </w:pPr>
    </w:p>
    <w:p w14:paraId="52F8500B" w14:textId="2F194C3B" w:rsidR="00030A10" w:rsidRDefault="00556411">
      <w:pPr>
        <w:spacing w:before="0" w:after="0"/>
      </w:pPr>
      <w:r>
        <w:t xml:space="preserve">Staff notes that the data trends to date do not reveal any positive impact </w:t>
      </w:r>
      <w:r w:rsidR="00845BEF">
        <w:t>since</w:t>
      </w:r>
      <w:r>
        <w:t xml:space="preserve"> adding the measures to the QBR program.  Based upon analysis of the RY 2020 QBR performance period (October 2017 through September 2018), Maryland continues to perform poorly on the </w:t>
      </w:r>
      <w:r w:rsidR="00E17B10">
        <w:t>ED Wait Time</w:t>
      </w:r>
      <w:r>
        <w:t xml:space="preserve"> measures compared to the nation, as illustrated in Figure 5 below. At the hospital level, the most recent data show approximately 86 percent of Maryland hospitals perform worse than the national median in </w:t>
      </w:r>
      <w:r w:rsidR="00E17B10">
        <w:t>ED Wait Time</w:t>
      </w:r>
      <w:r>
        <w:t>s</w:t>
      </w:r>
      <w:r w:rsidR="009224F2">
        <w:t xml:space="preserve">, as compared to </w:t>
      </w:r>
      <w:r w:rsidR="00BE3BF5">
        <w:rPr>
          <w:color w:val="222222"/>
        </w:rPr>
        <w:t>85</w:t>
      </w:r>
      <w:r w:rsidR="007223C8">
        <w:t>.7 percent</w:t>
      </w:r>
      <w:r w:rsidR="00BE3BF5">
        <w:t xml:space="preserve"> of hospitals performing worse on ED-1b and 78.6</w:t>
      </w:r>
      <w:r w:rsidR="007223C8">
        <w:t xml:space="preserve"> percent</w:t>
      </w:r>
      <w:r w:rsidR="00BE3BF5">
        <w:t xml:space="preserve"> performing worse on ED-2b </w:t>
      </w:r>
      <w:r w:rsidR="009224F2">
        <w:t>w</w:t>
      </w:r>
      <w:r w:rsidR="00BE3BF5">
        <w:t>h</w:t>
      </w:r>
      <w:r w:rsidR="009224F2">
        <w:t>en these measures were first put in pay for performance programs</w:t>
      </w:r>
      <w:r w:rsidR="00BE3BF5">
        <w:t xml:space="preserve"> two years ago</w:t>
      </w:r>
      <w:r>
        <w:t xml:space="preserve">.    </w:t>
      </w:r>
    </w:p>
    <w:p w14:paraId="1B23AAE3" w14:textId="77777777" w:rsidR="00030A10" w:rsidRDefault="00030A10">
      <w:pPr>
        <w:spacing w:before="0" w:after="0"/>
        <w:rPr>
          <w:highlight w:val="yellow"/>
        </w:rPr>
      </w:pPr>
    </w:p>
    <w:p w14:paraId="425F87BA" w14:textId="7777777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br w:type="page"/>
      </w:r>
    </w:p>
    <w:p w14:paraId="65E6CC6D" w14:textId="7777777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lastRenderedPageBreak/>
        <w:t xml:space="preserve">Figure 5. Maryland Statewide ED Wait Time Trends for Admitted Patients </w:t>
      </w:r>
    </w:p>
    <w:p w14:paraId="623D53FA" w14:textId="7777777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t>Compared to the Nation, Q2 2012 to Q32018.</w:t>
      </w:r>
    </w:p>
    <w:p w14:paraId="65CB8A9D" w14:textId="77777777" w:rsidR="00030A10" w:rsidRDefault="00556411">
      <w:r>
        <w:t xml:space="preserve">   </w:t>
      </w:r>
      <w:r>
        <w:rPr>
          <w:noProof/>
        </w:rPr>
        <w:drawing>
          <wp:inline distT="114300" distB="114300" distL="114300" distR="114300" wp14:anchorId="657D779A" wp14:editId="19622AF6">
            <wp:extent cx="5462538" cy="519914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62538" cy="5199145"/>
                    </a:xfrm>
                    <a:prstGeom prst="rect">
                      <a:avLst/>
                    </a:prstGeom>
                    <a:ln/>
                  </pic:spPr>
                </pic:pic>
              </a:graphicData>
            </a:graphic>
          </wp:inline>
        </w:drawing>
      </w:r>
    </w:p>
    <w:p w14:paraId="4C919F59" w14:textId="2A0DADA8" w:rsidR="00030A10" w:rsidRDefault="00556411">
      <w:pPr>
        <w:rPr>
          <w:color w:val="000000"/>
        </w:rPr>
      </w:pPr>
      <w:r>
        <w:t>As staff notes above, f</w:t>
      </w:r>
      <w:r>
        <w:rPr>
          <w:color w:val="000000"/>
        </w:rPr>
        <w:t>or the RY 202</w:t>
      </w:r>
      <w:r>
        <w:t>2</w:t>
      </w:r>
      <w:r>
        <w:rPr>
          <w:color w:val="000000"/>
        </w:rPr>
        <w:t xml:space="preserve"> QBR program, since </w:t>
      </w:r>
      <w:r>
        <w:t>CMS has discontinued mandatory reporting of the</w:t>
      </w:r>
      <w:r>
        <w:rPr>
          <w:color w:val="000000"/>
        </w:rPr>
        <w:t xml:space="preserve"> ED-2b measure after CY 2019</w:t>
      </w:r>
      <w:r>
        <w:t>, this measure will no longer be available on Hospital Compare for use. With the redesign of the QBR program for RY 2023, staff proposes to consider alternative data source options for re-adoption of ED Wait Time measures for admitted patients</w:t>
      </w:r>
      <w:r w:rsidR="006A0938">
        <w:t>,</w:t>
      </w:r>
      <w:r w:rsidR="00E17B10">
        <w:t xml:space="preserve"> such as the data submitted by hospitals </w:t>
      </w:r>
      <w:r w:rsidR="00942BFF">
        <w:t xml:space="preserve">to </w:t>
      </w:r>
      <w:r w:rsidR="00E17B10">
        <w:t>CMS specified as Electronic Clinical Quality Measures (eCQM)</w:t>
      </w:r>
      <w:r>
        <w:t>.</w:t>
      </w:r>
    </w:p>
    <w:p w14:paraId="099AEBE8" w14:textId="058ACFDD" w:rsidR="00030A10" w:rsidRDefault="00556411">
      <w:pPr>
        <w:pBdr>
          <w:top w:val="nil"/>
          <w:left w:val="nil"/>
          <w:bottom w:val="nil"/>
          <w:right w:val="nil"/>
          <w:between w:val="nil"/>
        </w:pBdr>
        <w:rPr>
          <w:color w:val="000000"/>
        </w:rPr>
      </w:pPr>
      <w:r>
        <w:t xml:space="preserve">With stakeholder </w:t>
      </w:r>
      <w:r>
        <w:rPr>
          <w:color w:val="000000"/>
        </w:rPr>
        <w:t>interest continu</w:t>
      </w:r>
      <w:r>
        <w:t>ing</w:t>
      </w:r>
      <w:r>
        <w:rPr>
          <w:color w:val="000000"/>
        </w:rPr>
        <w:t xml:space="preserve"> this yea</w:t>
      </w:r>
      <w:r>
        <w:t xml:space="preserve">r to retain </w:t>
      </w:r>
      <w:r w:rsidR="00E17B10">
        <w:t>ED Wait Time</w:t>
      </w:r>
      <w:r>
        <w:t xml:space="preserve"> measures, particularly payer and consumer stakeholders,</w:t>
      </w:r>
      <w:r>
        <w:rPr>
          <w:color w:val="000000"/>
        </w:rPr>
        <w:t xml:space="preserve"> staff and the PMWG reconsidered whether to propose inclusion of OP-18b (non-admitted patients) for RY 202</w:t>
      </w:r>
      <w:r>
        <w:t>2</w:t>
      </w:r>
      <w:r>
        <w:rPr>
          <w:color w:val="000000"/>
        </w:rPr>
        <w:t xml:space="preserve">.  Maryland </w:t>
      </w:r>
      <w:r>
        <w:t xml:space="preserve">has </w:t>
      </w:r>
      <w:r>
        <w:rPr>
          <w:color w:val="000000"/>
        </w:rPr>
        <w:t>perform</w:t>
      </w:r>
      <w:r>
        <w:t>ed</w:t>
      </w:r>
      <w:r>
        <w:rPr>
          <w:color w:val="000000"/>
        </w:rPr>
        <w:t xml:space="preserve"> poorly compared to the nation on the wait time for non-admitted/discharged patients as illustrated in </w:t>
      </w:r>
      <w:r>
        <w:rPr>
          <w:color w:val="000000"/>
        </w:rPr>
        <w:lastRenderedPageBreak/>
        <w:t xml:space="preserve">Figure 6.  While </w:t>
      </w:r>
      <w:r>
        <w:t>s</w:t>
      </w:r>
      <w:r>
        <w:rPr>
          <w:color w:val="000000"/>
        </w:rPr>
        <w:t>ome stakeholders voiced support for inclusion of the OP-18b measure last year</w:t>
      </w:r>
      <w:r>
        <w:t xml:space="preserve">, </w:t>
      </w:r>
      <w:r>
        <w:rPr>
          <w:color w:val="000000"/>
        </w:rPr>
        <w:t xml:space="preserve">others suggested the measure is at odds with hospitals’ efforts to reduce inpatient admissions </w:t>
      </w:r>
      <w:r>
        <w:t>and the time needed for</w:t>
      </w:r>
      <w:r>
        <w:rPr>
          <w:color w:val="000000"/>
        </w:rPr>
        <w:t xml:space="preserve"> care co</w:t>
      </w:r>
      <w:r>
        <w:t xml:space="preserve">ordination in the </w:t>
      </w:r>
      <w:r>
        <w:rPr>
          <w:color w:val="000000"/>
        </w:rPr>
        <w:t>ED</w:t>
      </w:r>
      <w:r>
        <w:t xml:space="preserve">.   </w:t>
      </w:r>
    </w:p>
    <w:p w14:paraId="1758DD34" w14:textId="7777777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t xml:space="preserve">Figure 6. Maryland Performance Compared to the Nation on OP-18b, </w:t>
      </w:r>
    </w:p>
    <w:p w14:paraId="472AD707" w14:textId="7777777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t>CY 2014 Qtr 1-CY 2018 Qtr 3</w:t>
      </w:r>
    </w:p>
    <w:p w14:paraId="5187F7CA" w14:textId="77777777" w:rsidR="00030A10" w:rsidRDefault="00556411">
      <w:pPr>
        <w:pBdr>
          <w:top w:val="nil"/>
          <w:left w:val="nil"/>
          <w:bottom w:val="nil"/>
          <w:right w:val="nil"/>
          <w:between w:val="nil"/>
        </w:pBdr>
      </w:pPr>
      <w:r>
        <w:rPr>
          <w:noProof/>
        </w:rPr>
        <w:drawing>
          <wp:inline distT="114300" distB="114300" distL="114300" distR="114300" wp14:anchorId="6616D4F0" wp14:editId="14F3F686">
            <wp:extent cx="5395913" cy="324203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395913" cy="3242035"/>
                    </a:xfrm>
                    <a:prstGeom prst="rect">
                      <a:avLst/>
                    </a:prstGeom>
                    <a:ln/>
                  </pic:spPr>
                </pic:pic>
              </a:graphicData>
            </a:graphic>
          </wp:inline>
        </w:drawing>
      </w:r>
    </w:p>
    <w:p w14:paraId="6839EED3" w14:textId="3002EBE2" w:rsidR="00030A10" w:rsidRDefault="00556411">
      <w:pPr>
        <w:pBdr>
          <w:top w:val="nil"/>
          <w:left w:val="nil"/>
          <w:bottom w:val="nil"/>
          <w:right w:val="nil"/>
          <w:between w:val="nil"/>
        </w:pBdr>
        <w:rPr>
          <w:color w:val="000000"/>
        </w:rPr>
      </w:pPr>
      <w:r>
        <w:t xml:space="preserve">Last year, </w:t>
      </w:r>
      <w:r>
        <w:rPr>
          <w:color w:val="000000"/>
        </w:rPr>
        <w:t xml:space="preserve">staff </w:t>
      </w:r>
      <w:r>
        <w:t xml:space="preserve">noted its intent to </w:t>
      </w:r>
      <w:r>
        <w:rPr>
          <w:color w:val="000000"/>
        </w:rPr>
        <w:t>monitor performance on the OP-18b measure over the</w:t>
      </w:r>
      <w:r>
        <w:t xml:space="preserve"> coming</w:t>
      </w:r>
      <w:r>
        <w:rPr>
          <w:color w:val="000000"/>
        </w:rPr>
        <w:t xml:space="preserve"> program year.  </w:t>
      </w:r>
      <w:r>
        <w:t xml:space="preserve">Staff noted it would reconsider inclusion of OP-18b in the future if “spillover” improvements from implementing the wait time measures for admitted patients were not seen in outpatient/non-admitted </w:t>
      </w:r>
      <w:r w:rsidR="00E17B10">
        <w:t>ED Wait Time</w:t>
      </w:r>
      <w:r>
        <w:t xml:space="preserve">s, particularly in light of the fact that Maryland’s higher wait times are paired with declining statewide ED visits. </w:t>
      </w:r>
      <w:r w:rsidR="00B76537">
        <w:rPr>
          <w:color w:val="000000"/>
        </w:rPr>
        <w:t>Conversely</w:t>
      </w:r>
      <w:r>
        <w:rPr>
          <w:color w:val="000000"/>
        </w:rPr>
        <w:t xml:space="preserve">, </w:t>
      </w:r>
      <w:r>
        <w:t>s</w:t>
      </w:r>
      <w:r>
        <w:rPr>
          <w:color w:val="000000"/>
        </w:rPr>
        <w:t>taff acknowledge</w:t>
      </w:r>
      <w:r>
        <w:t>d</w:t>
      </w:r>
      <w:r>
        <w:rPr>
          <w:color w:val="000000"/>
        </w:rPr>
        <w:t xml:space="preserve"> that </w:t>
      </w:r>
      <w:r>
        <w:t>a</w:t>
      </w:r>
      <w:r>
        <w:rPr>
          <w:color w:val="000000"/>
        </w:rPr>
        <w:t xml:space="preserve"> factor impacting the measure </w:t>
      </w:r>
      <w:r>
        <w:t xml:space="preserve">is related to </w:t>
      </w:r>
      <w:r>
        <w:rPr>
          <w:color w:val="000000"/>
        </w:rPr>
        <w:t xml:space="preserve">difficulties with the behavioral health system in the State, such as </w:t>
      </w:r>
      <w:r>
        <w:t xml:space="preserve">the need for improvement in the </w:t>
      </w:r>
      <w:r>
        <w:rPr>
          <w:color w:val="000000"/>
        </w:rPr>
        <w:t>behavioral health system infrastructure and labor shortages, which exacerbate emergency department throughput problems</w:t>
      </w:r>
      <w:r>
        <w:t>; h</w:t>
      </w:r>
      <w:r>
        <w:rPr>
          <w:color w:val="000000"/>
        </w:rPr>
        <w:t>owever these issues are not unique to Maryland. Staff</w:t>
      </w:r>
      <w:r w:rsidR="004770D9">
        <w:rPr>
          <w:color w:val="000000"/>
        </w:rPr>
        <w:t xml:space="preserve">, </w:t>
      </w:r>
      <w:r w:rsidR="00B76537">
        <w:rPr>
          <w:color w:val="000000"/>
        </w:rPr>
        <w:t>therefore</w:t>
      </w:r>
      <w:r w:rsidR="004770D9">
        <w:rPr>
          <w:color w:val="000000"/>
        </w:rPr>
        <w:t>,</w:t>
      </w:r>
      <w:r w:rsidR="00B76537">
        <w:rPr>
          <w:color w:val="000000"/>
        </w:rPr>
        <w:t xml:space="preserve"> </w:t>
      </w:r>
      <w:r>
        <w:rPr>
          <w:color w:val="000000"/>
        </w:rPr>
        <w:t>propose</w:t>
      </w:r>
      <w:r w:rsidR="004C3935">
        <w:rPr>
          <w:color w:val="000000"/>
        </w:rPr>
        <w:t>d</w:t>
      </w:r>
      <w:r>
        <w:rPr>
          <w:color w:val="000000"/>
        </w:rPr>
        <w:t xml:space="preserve"> to reconsider adoption of th</w:t>
      </w:r>
      <w:r>
        <w:t>e OP-18b measure as part of the process to redesign the QBR program during CY 2020 and to continue to monitor performance on this measure</w:t>
      </w:r>
      <w:r w:rsidR="00B76537">
        <w:t>.</w:t>
      </w:r>
      <w:r>
        <w:t xml:space="preserve"> </w:t>
      </w:r>
      <w:r w:rsidR="00B76537">
        <w:t xml:space="preserve"> W</w:t>
      </w:r>
      <w:r>
        <w:t xml:space="preserve">ith the data lag time, this will allow for two years of data to be analyzed where at least one </w:t>
      </w:r>
      <w:r w:rsidR="00E17B10">
        <w:t>ED Wait Time</w:t>
      </w:r>
      <w:r>
        <w:t xml:space="preserve"> measure for admitted patients was included in the program</w:t>
      </w:r>
      <w:r w:rsidR="006A0938">
        <w:t>.</w:t>
      </w:r>
      <w:r>
        <w:t xml:space="preserve"> </w:t>
      </w:r>
      <w:r w:rsidR="006A0938">
        <w:t>S</w:t>
      </w:r>
      <w:r>
        <w:t>taff</w:t>
      </w:r>
      <w:r w:rsidR="004C3935">
        <w:t xml:space="preserve"> has received</w:t>
      </w:r>
      <w:r>
        <w:t xml:space="preserve"> stakeholder feedback on the draft policy </w:t>
      </w:r>
      <w:r w:rsidR="004C3935">
        <w:t>which is summarized in the Stakeholder Feedback and Staff Response section below; staff does not at this time</w:t>
      </w:r>
      <w:r>
        <w:t xml:space="preserve"> recommend adopting the OP-18b measure for RY 2022.</w:t>
      </w:r>
    </w:p>
    <w:p w14:paraId="118C0AD1" w14:textId="244865F5" w:rsidR="00030A10" w:rsidRDefault="00556411">
      <w:pPr>
        <w:pBdr>
          <w:top w:val="nil"/>
          <w:left w:val="nil"/>
          <w:bottom w:val="nil"/>
          <w:right w:val="nil"/>
          <w:between w:val="nil"/>
        </w:pBdr>
      </w:pPr>
      <w:r>
        <w:t xml:space="preserve">Finally, staff notes that, in the FFY 2020 notification of exemption from CMS quality programs, CMS acknowledged the challenges around improving patient experience, and were supportive of </w:t>
      </w:r>
      <w:r>
        <w:lastRenderedPageBreak/>
        <w:t xml:space="preserve">“...maintaining the highest weight for the person and community engagement component along with the one emergency department wait time measure (ED-2b) if publicly reported.” </w:t>
      </w:r>
    </w:p>
    <w:p w14:paraId="4487B88F" w14:textId="1B2F20E4" w:rsidR="00030A10" w:rsidRDefault="00556411">
      <w:pPr>
        <w:pBdr>
          <w:top w:val="nil"/>
          <w:left w:val="nil"/>
          <w:bottom w:val="nil"/>
          <w:right w:val="nil"/>
          <w:between w:val="nil"/>
        </w:pBdr>
        <w:rPr>
          <w:color w:val="000000"/>
        </w:rPr>
      </w:pPr>
      <w:r>
        <w:rPr>
          <w:b/>
          <w:color w:val="000000"/>
        </w:rPr>
        <w:t>Based on the analysis of the Person and Community Engagement domain</w:t>
      </w:r>
      <w:r w:rsidR="00E17B10">
        <w:rPr>
          <w:b/>
          <w:color w:val="000000"/>
        </w:rPr>
        <w:t xml:space="preserve"> as well as stakeholder feedback</w:t>
      </w:r>
      <w:r>
        <w:rPr>
          <w:b/>
          <w:color w:val="000000"/>
        </w:rPr>
        <w:t>, HSCRC staff recommends continuing to weight this domain at 50</w:t>
      </w:r>
      <w:r>
        <w:rPr>
          <w:b/>
        </w:rPr>
        <w:t xml:space="preserve"> percent</w:t>
      </w:r>
      <w:r>
        <w:rPr>
          <w:b/>
          <w:color w:val="000000"/>
        </w:rPr>
        <w:t xml:space="preserve"> of the QBR score, with the HCAHPS measures remaining in the domain.  </w:t>
      </w:r>
      <w:r>
        <w:rPr>
          <w:b/>
        </w:rPr>
        <w:t xml:space="preserve">Staff proposes to consider </w:t>
      </w:r>
      <w:r w:rsidR="00E17B10">
        <w:rPr>
          <w:b/>
        </w:rPr>
        <w:t>ED Wait Time</w:t>
      </w:r>
      <w:r>
        <w:rPr>
          <w:b/>
        </w:rPr>
        <w:t xml:space="preserve"> measure options as part of the QBR redesign during CY 2020 with potential re-adoption of measures for RY 2023</w:t>
      </w:r>
      <w:r w:rsidR="00E17B10">
        <w:rPr>
          <w:b/>
        </w:rPr>
        <w:t xml:space="preserve"> and beyond</w:t>
      </w:r>
      <w:r>
        <w:rPr>
          <w:b/>
        </w:rPr>
        <w:t>.</w:t>
      </w:r>
    </w:p>
    <w:p w14:paraId="25C02E7A" w14:textId="77777777" w:rsidR="00030A10" w:rsidRDefault="00556411">
      <w:pPr>
        <w:pStyle w:val="Heading3"/>
      </w:pPr>
      <w:bookmarkStart w:id="13" w:name="_lkchu8sz0ex3" w:colFirst="0" w:colLast="0"/>
      <w:bookmarkStart w:id="14" w:name="_Toc26345143"/>
      <w:bookmarkEnd w:id="13"/>
      <w:r>
        <w:t>Safety Domain</w:t>
      </w:r>
      <w:bookmarkEnd w:id="14"/>
    </w:p>
    <w:p w14:paraId="58C3C0B5" w14:textId="54FEFB83" w:rsidR="00030A10" w:rsidRDefault="00556411">
      <w:pPr>
        <w:pBdr>
          <w:top w:val="nil"/>
          <w:left w:val="nil"/>
          <w:bottom w:val="nil"/>
          <w:right w:val="nil"/>
          <w:between w:val="nil"/>
        </w:pBdr>
        <w:rPr>
          <w:color w:val="222222"/>
          <w:highlight w:val="white"/>
        </w:rPr>
      </w:pPr>
      <w:r>
        <w:rPr>
          <w:color w:val="000000"/>
        </w:rPr>
        <w:t xml:space="preserve">The </w:t>
      </w:r>
      <w:r>
        <w:rPr>
          <w:b/>
          <w:color w:val="000000"/>
        </w:rPr>
        <w:t>Safety</w:t>
      </w:r>
      <w:r>
        <w:rPr>
          <w:color w:val="000000"/>
        </w:rPr>
        <w:t xml:space="preserve"> domain consists of </w:t>
      </w:r>
      <w:r>
        <w:t xml:space="preserve">five </w:t>
      </w:r>
      <w:r>
        <w:rPr>
          <w:color w:val="000000"/>
        </w:rPr>
        <w:t xml:space="preserve">CDC National Health Safety Network (NHSN) healthcare associated infection (HAI) measures. As illustrated in Figure 7 below, </w:t>
      </w:r>
      <w:r>
        <w:rPr>
          <w:color w:val="222222"/>
          <w:highlight w:val="white"/>
        </w:rPr>
        <w:t>Maryland's performance on the NHSN measures has been mixed (lower scores are better). Average hospital standardized infection ratios (SIRs) for five of the six HAI categories declined (improved) both nationally and for Maryland in the performance period compared to the base.</w:t>
      </w:r>
      <w:r>
        <w:rPr>
          <w:color w:val="222222"/>
          <w:highlight w:val="white"/>
          <w:vertAlign w:val="superscript"/>
        </w:rPr>
        <w:footnoteReference w:id="10"/>
      </w:r>
      <w:r>
        <w:rPr>
          <w:color w:val="222222"/>
          <w:highlight w:val="white"/>
        </w:rPr>
        <w:t xml:space="preserve"> Maryland’s improvement from the base was better than that of the nation for three of the </w:t>
      </w:r>
      <w:r w:rsidRPr="000528A6">
        <w:rPr>
          <w:color w:val="222222"/>
          <w:highlight w:val="white"/>
        </w:rPr>
        <w:t xml:space="preserve">six </w:t>
      </w:r>
      <w:r w:rsidR="000528A6">
        <w:rPr>
          <w:color w:val="222222"/>
          <w:highlight w:val="white"/>
        </w:rPr>
        <w:t>infection categories</w:t>
      </w:r>
      <w:r w:rsidRPr="000528A6">
        <w:rPr>
          <w:color w:val="222222"/>
          <w:highlight w:val="white"/>
        </w:rPr>
        <w:t xml:space="preserve"> (</w:t>
      </w:r>
      <w:r w:rsidR="000528A6" w:rsidRPr="000528A6">
        <w:rPr>
          <w:color w:val="222222"/>
          <w:highlight w:val="white"/>
        </w:rPr>
        <w:t>Central Line Associated Blood Stream Infection-</w:t>
      </w:r>
      <w:r w:rsidRPr="000528A6">
        <w:rPr>
          <w:color w:val="222222"/>
          <w:highlight w:val="white"/>
        </w:rPr>
        <w:t>CLABSI, C</w:t>
      </w:r>
      <w:r w:rsidR="000528A6" w:rsidRPr="000528A6">
        <w:rPr>
          <w:color w:val="222222"/>
          <w:highlight w:val="white"/>
        </w:rPr>
        <w:t>atheter Associated Urinary Tract Infection-C</w:t>
      </w:r>
      <w:r w:rsidRPr="000528A6">
        <w:rPr>
          <w:color w:val="222222"/>
          <w:highlight w:val="white"/>
        </w:rPr>
        <w:t xml:space="preserve">AUTI, </w:t>
      </w:r>
      <w:r w:rsidR="000528A6" w:rsidRPr="00DC3B77">
        <w:rPr>
          <w:color w:val="222222"/>
          <w:highlight w:val="white"/>
        </w:rPr>
        <w:t>Methicillin Resistant Staph</w:t>
      </w:r>
      <w:r w:rsidR="000528A6" w:rsidRPr="00DC3B77">
        <w:rPr>
          <w:color w:val="222222"/>
          <w:shd w:val="clear" w:color="auto" w:fill="FFFFFF"/>
        </w:rPr>
        <w:t xml:space="preserve"> aureus- </w:t>
      </w:r>
      <w:r w:rsidRPr="000528A6">
        <w:rPr>
          <w:color w:val="222222"/>
          <w:highlight w:val="white"/>
        </w:rPr>
        <w:t xml:space="preserve">MRSA) and on par with the nation for two measures </w:t>
      </w:r>
      <w:r w:rsidRPr="00DC3B77">
        <w:rPr>
          <w:color w:val="222222"/>
          <w:highlight w:val="white"/>
        </w:rPr>
        <w:t>(</w:t>
      </w:r>
      <w:r w:rsidR="00DC3B77" w:rsidRPr="00DC3B77">
        <w:rPr>
          <w:rStyle w:val="Emphasis"/>
          <w:bCs/>
          <w:i w:val="0"/>
          <w:iCs w:val="0"/>
          <w:color w:val="6A6A6A"/>
          <w:shd w:val="clear" w:color="auto" w:fill="FFFFFF"/>
        </w:rPr>
        <w:t>C</w:t>
      </w:r>
      <w:r w:rsidR="00DC3B77" w:rsidRPr="00DC3B77">
        <w:rPr>
          <w:rStyle w:val="Emphasis"/>
          <w:bCs/>
          <w:i w:val="0"/>
          <w:iCs w:val="0"/>
          <w:shd w:val="clear" w:color="auto" w:fill="FFFFFF"/>
        </w:rPr>
        <w:t>lostridium difficile-</w:t>
      </w:r>
      <w:r w:rsidRPr="00DC3B77">
        <w:rPr>
          <w:color w:val="222222"/>
          <w:highlight w:val="white"/>
        </w:rPr>
        <w:t>CDIFF</w:t>
      </w:r>
      <w:r w:rsidRPr="000528A6">
        <w:rPr>
          <w:color w:val="222222"/>
          <w:highlight w:val="white"/>
        </w:rPr>
        <w:t xml:space="preserve">, </w:t>
      </w:r>
      <w:r w:rsidR="00DC3B77">
        <w:rPr>
          <w:color w:val="222222"/>
          <w:highlight w:val="white"/>
        </w:rPr>
        <w:t xml:space="preserve"> Surgical Sight Infection Colon- SSI Colon</w:t>
      </w:r>
      <w:r w:rsidRPr="000528A6">
        <w:rPr>
          <w:color w:val="222222"/>
          <w:highlight w:val="white"/>
        </w:rPr>
        <w:t>).  Additionally, in the performance period, Maryland’s infection rates were better (lower) for CAUTI; slightly worse (higher</w:t>
      </w:r>
      <w:r>
        <w:rPr>
          <w:color w:val="222222"/>
          <w:highlight w:val="white"/>
        </w:rPr>
        <w:t>) for CLABSI, SSI colon, MRSA, and CDIFF; and, markedly worse for S</w:t>
      </w:r>
      <w:r w:rsidR="00DC3B77">
        <w:rPr>
          <w:color w:val="222222"/>
          <w:highlight w:val="white"/>
        </w:rPr>
        <w:t>urgical Sight Infection</w:t>
      </w:r>
      <w:r>
        <w:rPr>
          <w:color w:val="222222"/>
          <w:highlight w:val="white"/>
        </w:rPr>
        <w:t xml:space="preserve"> hysterectomy.  </w:t>
      </w:r>
    </w:p>
    <w:p w14:paraId="68C4B70B" w14:textId="77777777" w:rsidR="00030A10" w:rsidRDefault="00556411">
      <w:pPr>
        <w:pBdr>
          <w:top w:val="nil"/>
          <w:left w:val="nil"/>
          <w:bottom w:val="nil"/>
          <w:right w:val="nil"/>
          <w:between w:val="nil"/>
        </w:pBdr>
        <w:jc w:val="center"/>
        <w:rPr>
          <w:color w:val="000000"/>
        </w:rPr>
      </w:pPr>
      <w:r>
        <w:rPr>
          <w:rFonts w:ascii="Calibri" w:eastAsia="Calibri" w:hAnsi="Calibri" w:cs="Calibri"/>
          <w:b/>
          <w:color w:val="4F81BD"/>
        </w:rPr>
        <w:t>Figure 7. Maryland vs. National Median Hospital SIRs on NHSN HAI Safety Measures (Base period Calendar Year 2016, Performance period October 1, 2017 to September 30, 2018)</w:t>
      </w:r>
      <w:r>
        <w:rPr>
          <w:noProof/>
        </w:rPr>
        <w:drawing>
          <wp:inline distT="114300" distB="114300" distL="114300" distR="114300" wp14:anchorId="6E452567" wp14:editId="6DB8DF7E">
            <wp:extent cx="4843463" cy="264109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843463" cy="2641091"/>
                    </a:xfrm>
                    <a:prstGeom prst="rect">
                      <a:avLst/>
                    </a:prstGeom>
                    <a:ln/>
                  </pic:spPr>
                </pic:pic>
              </a:graphicData>
            </a:graphic>
          </wp:inline>
        </w:drawing>
      </w:r>
    </w:p>
    <w:p w14:paraId="5DAF1249" w14:textId="77777777" w:rsidR="00030A10" w:rsidRDefault="00030A10">
      <w:pPr>
        <w:widowControl w:val="0"/>
        <w:pBdr>
          <w:top w:val="nil"/>
          <w:left w:val="nil"/>
          <w:bottom w:val="nil"/>
          <w:right w:val="nil"/>
          <w:between w:val="nil"/>
        </w:pBdr>
        <w:spacing w:before="0" w:after="0"/>
        <w:ind w:hanging="720"/>
        <w:rPr>
          <w:color w:val="000000"/>
          <w:highlight w:val="yellow"/>
        </w:rPr>
      </w:pPr>
    </w:p>
    <w:p w14:paraId="205D6CF0" w14:textId="77777777" w:rsidR="00030A10" w:rsidRDefault="00030A10">
      <w:pPr>
        <w:widowControl w:val="0"/>
        <w:pBdr>
          <w:top w:val="nil"/>
          <w:left w:val="nil"/>
          <w:bottom w:val="nil"/>
          <w:right w:val="nil"/>
          <w:between w:val="nil"/>
        </w:pBdr>
        <w:spacing w:before="0" w:after="0"/>
        <w:ind w:hanging="720"/>
        <w:rPr>
          <w:color w:val="000000"/>
        </w:rPr>
      </w:pPr>
    </w:p>
    <w:p w14:paraId="3B28F4AD" w14:textId="77777777" w:rsidR="00030A10" w:rsidRDefault="00556411">
      <w:pPr>
        <w:widowControl w:val="0"/>
        <w:pBdr>
          <w:top w:val="nil"/>
          <w:left w:val="nil"/>
          <w:bottom w:val="nil"/>
          <w:right w:val="nil"/>
          <w:between w:val="nil"/>
        </w:pBdr>
        <w:spacing w:before="0" w:after="0"/>
        <w:ind w:left="90"/>
        <w:rPr>
          <w:color w:val="000000"/>
        </w:rPr>
      </w:pPr>
      <w:r>
        <w:rPr>
          <w:b/>
          <w:color w:val="000000"/>
        </w:rPr>
        <w:t>Staff recommends continuing to weight the Safety domain at 35</w:t>
      </w:r>
      <w:r>
        <w:rPr>
          <w:b/>
        </w:rPr>
        <w:t xml:space="preserve"> percent</w:t>
      </w:r>
      <w:r>
        <w:rPr>
          <w:b/>
          <w:color w:val="000000"/>
        </w:rPr>
        <w:t xml:space="preserve"> of the total QBR score</w:t>
      </w:r>
      <w:r>
        <w:rPr>
          <w:b/>
        </w:rPr>
        <w:t xml:space="preserve"> (</w:t>
      </w:r>
      <w:r>
        <w:rPr>
          <w:b/>
          <w:color w:val="000000"/>
        </w:rPr>
        <w:t>10</w:t>
      </w:r>
      <w:r>
        <w:rPr>
          <w:b/>
        </w:rPr>
        <w:t xml:space="preserve"> percent</w:t>
      </w:r>
      <w:r>
        <w:rPr>
          <w:b/>
          <w:color w:val="000000"/>
        </w:rPr>
        <w:t xml:space="preserve"> greater tha</w:t>
      </w:r>
      <w:r>
        <w:rPr>
          <w:b/>
        </w:rPr>
        <w:t>n the 25 percent in CMS VBP)</w:t>
      </w:r>
      <w:r>
        <w:rPr>
          <w:b/>
          <w:color w:val="000000"/>
        </w:rPr>
        <w:t>.</w:t>
      </w:r>
    </w:p>
    <w:p w14:paraId="2D3F613F" w14:textId="77777777" w:rsidR="00030A10" w:rsidRDefault="00030A10">
      <w:pPr>
        <w:widowControl w:val="0"/>
        <w:pBdr>
          <w:top w:val="nil"/>
          <w:left w:val="nil"/>
          <w:bottom w:val="nil"/>
          <w:right w:val="nil"/>
          <w:between w:val="nil"/>
        </w:pBdr>
        <w:spacing w:before="0" w:after="0"/>
        <w:ind w:left="90"/>
      </w:pPr>
    </w:p>
    <w:p w14:paraId="738283E7" w14:textId="77777777" w:rsidR="00030A10" w:rsidRDefault="00556411">
      <w:pPr>
        <w:pStyle w:val="Heading3"/>
        <w:widowControl w:val="0"/>
        <w:spacing w:before="0" w:after="0"/>
        <w:ind w:left="90"/>
      </w:pPr>
      <w:bookmarkStart w:id="15" w:name="_ocz2cgoiiam" w:colFirst="0" w:colLast="0"/>
      <w:bookmarkStart w:id="16" w:name="_Toc26345144"/>
      <w:bookmarkEnd w:id="15"/>
      <w:r>
        <w:t>Clinical Care Domain</w:t>
      </w:r>
      <w:bookmarkEnd w:id="16"/>
    </w:p>
    <w:p w14:paraId="710B22D6" w14:textId="77777777" w:rsidR="00030A10" w:rsidRDefault="00030A10">
      <w:pPr>
        <w:widowControl w:val="0"/>
        <w:pBdr>
          <w:top w:val="nil"/>
          <w:left w:val="nil"/>
          <w:bottom w:val="nil"/>
          <w:right w:val="nil"/>
          <w:between w:val="nil"/>
        </w:pBdr>
        <w:spacing w:before="0" w:after="0"/>
        <w:ind w:left="90"/>
      </w:pPr>
    </w:p>
    <w:p w14:paraId="53445790" w14:textId="77777777" w:rsidR="00030A10" w:rsidRDefault="00556411">
      <w:pPr>
        <w:widowControl w:val="0"/>
        <w:pBdr>
          <w:top w:val="nil"/>
          <w:left w:val="nil"/>
          <w:bottom w:val="nil"/>
          <w:right w:val="nil"/>
          <w:between w:val="nil"/>
        </w:pBdr>
        <w:spacing w:before="0" w:after="0"/>
        <w:ind w:left="90"/>
        <w:rPr>
          <w:color w:val="000000"/>
        </w:rPr>
      </w:pPr>
      <w:r>
        <w:rPr>
          <w:color w:val="000000"/>
        </w:rPr>
        <w:t xml:space="preserve">The QBR </w:t>
      </w:r>
      <w:r>
        <w:rPr>
          <w:b/>
          <w:color w:val="000000"/>
        </w:rPr>
        <w:t xml:space="preserve">Clinical Care </w:t>
      </w:r>
      <w:r>
        <w:rPr>
          <w:color w:val="000000"/>
        </w:rPr>
        <w:t xml:space="preserve">domain consists of one all-payer, all-cause, all-condition inpatient mortality measure, while the Medicare VBP program </w:t>
      </w:r>
      <w:r>
        <w:t>include</w:t>
      </w:r>
      <w:r>
        <w:rPr>
          <w:color w:val="000000"/>
        </w:rPr>
        <w:t xml:space="preserve">s four 30-day condition-specific </w:t>
      </w:r>
      <w:r>
        <w:t>m</w:t>
      </w:r>
      <w:r>
        <w:rPr>
          <w:color w:val="000000"/>
        </w:rPr>
        <w:t>ortality measures (Heart Attack, Heart Failure, Pneumonia, and COPD)</w:t>
      </w:r>
      <w:r>
        <w:t>. Medicare also monitors two additional 30-day mortality measures for Coronary Artery Bypass Graft and Stroke, but does not include these measures in VBP. Both QBR and VBP include the</w:t>
      </w:r>
      <w:r>
        <w:rPr>
          <w:color w:val="000000"/>
        </w:rPr>
        <w:t xml:space="preserve"> Total Hip and Knee Arthroplasty (THA/TKA) complication measure on Medicare patients with elective </w:t>
      </w:r>
      <w:r>
        <w:t xml:space="preserve">primary </w:t>
      </w:r>
      <w:r>
        <w:rPr>
          <w:color w:val="000000"/>
        </w:rPr>
        <w:t xml:space="preserve">procedures.   </w:t>
      </w:r>
    </w:p>
    <w:p w14:paraId="7FE017D5" w14:textId="77777777" w:rsidR="00030A10" w:rsidRDefault="00030A10">
      <w:pPr>
        <w:widowControl w:val="0"/>
        <w:pBdr>
          <w:top w:val="nil"/>
          <w:left w:val="nil"/>
          <w:bottom w:val="nil"/>
          <w:right w:val="nil"/>
          <w:between w:val="nil"/>
        </w:pBdr>
        <w:spacing w:before="0" w:after="0"/>
        <w:ind w:left="90"/>
      </w:pPr>
    </w:p>
    <w:p w14:paraId="52FF557E" w14:textId="77777777" w:rsidR="00030A10" w:rsidRDefault="00556411">
      <w:pPr>
        <w:widowControl w:val="0"/>
        <w:pBdr>
          <w:top w:val="nil"/>
          <w:left w:val="nil"/>
          <w:bottom w:val="nil"/>
          <w:right w:val="nil"/>
          <w:between w:val="nil"/>
        </w:pBdr>
        <w:spacing w:before="0" w:after="0"/>
        <w:ind w:left="90"/>
        <w:rPr>
          <w:color w:val="000000"/>
        </w:rPr>
      </w:pPr>
      <w:r>
        <w:rPr>
          <w:color w:val="000000"/>
        </w:rPr>
        <w:t xml:space="preserve">Based on the </w:t>
      </w:r>
      <w:r>
        <w:t>analysis of the weighted average rates for Maryland versus the nation for the condition specific mortality measures provided by</w:t>
      </w:r>
      <w:r>
        <w:rPr>
          <w:color w:val="000000"/>
        </w:rPr>
        <w:t xml:space="preserve"> Health Quality Innovators, Maryland performs similarly to the nation for all condition-specific measures of 30-day mortality (Figure </w:t>
      </w:r>
      <w:r>
        <w:t>8</w:t>
      </w:r>
      <w:r>
        <w:rPr>
          <w:color w:val="000000"/>
        </w:rPr>
        <w:t>).</w:t>
      </w:r>
    </w:p>
    <w:p w14:paraId="287F9A37" w14:textId="77777777" w:rsidR="00030A10" w:rsidRDefault="00030A10">
      <w:pPr>
        <w:keepNext/>
        <w:pBdr>
          <w:top w:val="nil"/>
          <w:left w:val="nil"/>
          <w:bottom w:val="nil"/>
          <w:right w:val="nil"/>
          <w:between w:val="nil"/>
        </w:pBdr>
        <w:spacing w:before="0" w:after="0"/>
        <w:ind w:left="90"/>
        <w:jc w:val="center"/>
        <w:rPr>
          <w:rFonts w:ascii="Calibri" w:eastAsia="Calibri" w:hAnsi="Calibri" w:cs="Calibri"/>
          <w:b/>
          <w:color w:val="4F81BD"/>
          <w:highlight w:val="yellow"/>
        </w:rPr>
      </w:pPr>
    </w:p>
    <w:p w14:paraId="424C08D8" w14:textId="05824587" w:rsidR="00030A10" w:rsidRDefault="00556411" w:rsidP="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t>Figure 8.  Maryland Hospital Performance Compared with the nation on CMS Condi</w:t>
      </w:r>
      <w:r w:rsidR="009E10C0">
        <w:rPr>
          <w:rFonts w:ascii="Calibri" w:eastAsia="Calibri" w:hAnsi="Calibri" w:cs="Calibri"/>
          <w:b/>
          <w:color w:val="4F81BD"/>
        </w:rPr>
        <w:t>tion-Specific Mortality Measure Rates</w:t>
      </w:r>
    </w:p>
    <w:p w14:paraId="79FC30A4" w14:textId="00B854AA" w:rsidR="00030A10" w:rsidRDefault="009A407D">
      <w:r>
        <w:rPr>
          <w:noProof/>
        </w:rPr>
        <w:drawing>
          <wp:inline distT="0" distB="0" distL="0" distR="0" wp14:anchorId="78B747D9" wp14:editId="25804049">
            <wp:extent cx="4799882" cy="299607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0129" cy="3008716"/>
                    </a:xfrm>
                    <a:prstGeom prst="rect">
                      <a:avLst/>
                    </a:prstGeom>
                    <a:noFill/>
                  </pic:spPr>
                </pic:pic>
              </a:graphicData>
            </a:graphic>
          </wp:inline>
        </w:drawing>
      </w:r>
    </w:p>
    <w:p w14:paraId="5AE2EC2D" w14:textId="77777777" w:rsidR="00030A10" w:rsidRDefault="00556411">
      <w:r>
        <w:t xml:space="preserve">For the QBR all-payer inpatient mortality measure for RY 2020, statewide survival rate increased (improved) from 0.9553 in the base period to 0.9617 in the performance period.  As illustrated in Figure 9 below, all but three hospitals earned points for either attainment or </w:t>
      </w:r>
      <w:r>
        <w:lastRenderedPageBreak/>
        <w:t>improvement on the mortality measure; 33 hospitals performed better than the statewide benchmark (50th percentile) as they earned at least one attainment point.</w:t>
      </w:r>
    </w:p>
    <w:p w14:paraId="4E8B6A11" w14:textId="77777777" w:rsidR="00030A10" w:rsidRDefault="00556411">
      <w:pPr>
        <w:keepNext/>
        <w:spacing w:before="0" w:after="0"/>
        <w:jc w:val="center"/>
        <w:rPr>
          <w:rFonts w:ascii="Calibri" w:eastAsia="Calibri" w:hAnsi="Calibri" w:cs="Calibri"/>
          <w:b/>
          <w:color w:val="4F81BD"/>
        </w:rPr>
      </w:pPr>
      <w:r>
        <w:rPr>
          <w:rFonts w:ascii="Calibri" w:eastAsia="Calibri" w:hAnsi="Calibri" w:cs="Calibri"/>
          <w:b/>
          <w:color w:val="4F81BD"/>
        </w:rPr>
        <w:t xml:space="preserve">Figure 9.  Maryland Hospital Performance, FY 2020 QBR </w:t>
      </w:r>
    </w:p>
    <w:p w14:paraId="5570E158" w14:textId="77777777" w:rsidR="00030A10" w:rsidRDefault="00556411">
      <w:pPr>
        <w:keepNext/>
        <w:spacing w:before="0" w:after="0"/>
        <w:jc w:val="center"/>
      </w:pPr>
      <w:r>
        <w:rPr>
          <w:rFonts w:ascii="Calibri" w:eastAsia="Calibri" w:hAnsi="Calibri" w:cs="Calibri"/>
          <w:b/>
          <w:color w:val="4F81BD"/>
        </w:rPr>
        <w:t>Inpatient All Condition, All Payer Mortality Measure</w:t>
      </w:r>
    </w:p>
    <w:p w14:paraId="6681DEA2" w14:textId="77777777" w:rsidR="00030A10" w:rsidRDefault="00556411">
      <w:pPr>
        <w:widowControl w:val="0"/>
        <w:spacing w:before="0" w:after="0"/>
        <w:ind w:left="1440" w:hanging="720"/>
        <w:jc w:val="center"/>
      </w:pPr>
      <w:r>
        <w:rPr>
          <w:noProof/>
        </w:rPr>
        <w:drawing>
          <wp:inline distT="114300" distB="114300" distL="114300" distR="114300" wp14:anchorId="4FDD0389" wp14:editId="6CDD74DC">
            <wp:extent cx="3932250" cy="210978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932250" cy="2109788"/>
                    </a:xfrm>
                    <a:prstGeom prst="rect">
                      <a:avLst/>
                    </a:prstGeom>
                    <a:ln/>
                  </pic:spPr>
                </pic:pic>
              </a:graphicData>
            </a:graphic>
          </wp:inline>
        </w:drawing>
      </w:r>
    </w:p>
    <w:p w14:paraId="1F46DBBF" w14:textId="77777777" w:rsidR="00030A10" w:rsidRDefault="00030A10">
      <w:pPr>
        <w:widowControl w:val="0"/>
        <w:pBdr>
          <w:top w:val="nil"/>
          <w:left w:val="nil"/>
          <w:bottom w:val="nil"/>
          <w:right w:val="nil"/>
          <w:between w:val="nil"/>
        </w:pBdr>
        <w:spacing w:before="0" w:after="0"/>
      </w:pPr>
    </w:p>
    <w:p w14:paraId="7C6901A1" w14:textId="138DF1D4" w:rsidR="00030A10" w:rsidRDefault="00556411">
      <w:pPr>
        <w:widowControl w:val="0"/>
        <w:spacing w:before="0" w:after="0"/>
      </w:pPr>
      <w:r>
        <w:t xml:space="preserve">For RY 2022, staff </w:t>
      </w:r>
      <w:r w:rsidR="00E17B10">
        <w:t>is</w:t>
      </w:r>
      <w:r>
        <w:t xml:space="preserve"> not proposing any significant methodology changes to the inpatient mortality measure.  However, Johns Hopkins and University of Maryland have brought to our attention two technical adjustments that the staff will implement - these are minor adjustments to align the measure wit</w:t>
      </w:r>
      <w:r w:rsidR="007223C8">
        <w:t>h the original intent of the 80 percent DRG</w:t>
      </w:r>
      <w:r>
        <w:t xml:space="preserve"> inclusion, and to update the exclusions to accommodate recent ICD-10 updates.</w:t>
      </w:r>
      <w:r>
        <w:rPr>
          <w:vertAlign w:val="superscript"/>
        </w:rPr>
        <w:footnoteReference w:id="11"/>
      </w:r>
      <w:r>
        <w:t xml:space="preserve">  Other stakeholder comments on the inpatient measure will be considered during the QBR redesign, and as part of the development of the 30-day all-payer, all-condition mortality measure.  Staff have been working with contractor support to develop the new mortality measure and will vet the measure with the QBR redesign subgroup and the PMWG during the course of the coming year, with potential plans for inclusion of the measure in the RY 2023 QBR program.</w:t>
      </w:r>
    </w:p>
    <w:p w14:paraId="6370761F" w14:textId="77777777" w:rsidR="00030A10" w:rsidRDefault="00556411">
      <w:pPr>
        <w:widowControl w:val="0"/>
        <w:spacing w:before="0" w:after="0"/>
      </w:pPr>
      <w:r>
        <w:t xml:space="preserve">  </w:t>
      </w:r>
    </w:p>
    <w:p w14:paraId="6C706E2F" w14:textId="77777777" w:rsidR="00030A10" w:rsidRDefault="00556411">
      <w:pPr>
        <w:widowControl w:val="0"/>
        <w:spacing w:before="0" w:after="0"/>
        <w:rPr>
          <w:rFonts w:ascii="Calibri" w:eastAsia="Calibri" w:hAnsi="Calibri" w:cs="Calibri"/>
          <w:b/>
          <w:color w:val="4F81BD"/>
        </w:rPr>
      </w:pPr>
      <w:r>
        <w:t xml:space="preserve">For the hip and knee complication rate measure for RY 2020, Figure 10 illustrates that, based on analysis of the weighted average rates for Maryland and the nation, Maryland performed on par with the nation.  </w:t>
      </w:r>
    </w:p>
    <w:p w14:paraId="303FE2A2" w14:textId="77777777" w:rsidR="00030A10" w:rsidRDefault="00030A10">
      <w:pPr>
        <w:widowControl w:val="0"/>
        <w:pBdr>
          <w:top w:val="nil"/>
          <w:left w:val="nil"/>
          <w:bottom w:val="nil"/>
          <w:right w:val="nil"/>
          <w:between w:val="nil"/>
        </w:pBdr>
        <w:spacing w:before="0" w:after="0"/>
        <w:ind w:left="-720" w:firstLine="720"/>
        <w:jc w:val="center"/>
        <w:rPr>
          <w:rFonts w:ascii="Calibri" w:eastAsia="Calibri" w:hAnsi="Calibri" w:cs="Calibri"/>
          <w:b/>
          <w:color w:val="4F81BD"/>
        </w:rPr>
      </w:pPr>
    </w:p>
    <w:p w14:paraId="1DE62783" w14:textId="77777777" w:rsidR="00030A10" w:rsidRDefault="00556411">
      <w:pPr>
        <w:widowControl w:val="0"/>
        <w:pBdr>
          <w:top w:val="nil"/>
          <w:left w:val="nil"/>
          <w:bottom w:val="nil"/>
          <w:right w:val="nil"/>
          <w:between w:val="nil"/>
        </w:pBdr>
        <w:spacing w:before="0" w:after="0"/>
        <w:ind w:left="-720" w:firstLine="720"/>
        <w:jc w:val="center"/>
        <w:rPr>
          <w:rFonts w:ascii="Calibri" w:eastAsia="Calibri" w:hAnsi="Calibri" w:cs="Calibri"/>
          <w:b/>
          <w:color w:val="4F81BD"/>
        </w:rPr>
      </w:pPr>
      <w:r>
        <w:br w:type="page"/>
      </w:r>
    </w:p>
    <w:p w14:paraId="21868B15" w14:textId="77777777" w:rsidR="00030A10" w:rsidRDefault="00556411">
      <w:pPr>
        <w:widowControl w:val="0"/>
        <w:pBdr>
          <w:top w:val="nil"/>
          <w:left w:val="nil"/>
          <w:bottom w:val="nil"/>
          <w:right w:val="nil"/>
          <w:between w:val="nil"/>
        </w:pBdr>
        <w:spacing w:before="0" w:after="0"/>
        <w:ind w:left="-720" w:firstLine="720"/>
        <w:jc w:val="center"/>
        <w:rPr>
          <w:rFonts w:ascii="Calibri" w:eastAsia="Calibri" w:hAnsi="Calibri" w:cs="Calibri"/>
          <w:b/>
          <w:color w:val="4F81BD"/>
        </w:rPr>
      </w:pPr>
      <w:r>
        <w:rPr>
          <w:rFonts w:ascii="Calibri" w:eastAsia="Calibri" w:hAnsi="Calibri" w:cs="Calibri"/>
          <w:b/>
          <w:color w:val="4F81BD"/>
        </w:rPr>
        <w:lastRenderedPageBreak/>
        <w:t xml:space="preserve">Figure 10. Maryland THA/TKA Measure Performance </w:t>
      </w:r>
    </w:p>
    <w:p w14:paraId="41926AD6" w14:textId="77777777" w:rsidR="00030A10" w:rsidRDefault="00556411">
      <w:pPr>
        <w:widowControl w:val="0"/>
        <w:pBdr>
          <w:top w:val="nil"/>
          <w:left w:val="nil"/>
          <w:bottom w:val="nil"/>
          <w:right w:val="nil"/>
          <w:between w:val="nil"/>
        </w:pBdr>
        <w:spacing w:before="0" w:after="0"/>
        <w:ind w:left="-720" w:firstLine="720"/>
        <w:jc w:val="center"/>
        <w:rPr>
          <w:rFonts w:ascii="Calibri" w:eastAsia="Calibri" w:hAnsi="Calibri" w:cs="Calibri"/>
          <w:b/>
          <w:color w:val="4F81BD"/>
          <w:highlight w:val="yellow"/>
        </w:rPr>
      </w:pPr>
      <w:r>
        <w:rPr>
          <w:rFonts w:ascii="Calibri" w:eastAsia="Calibri" w:hAnsi="Calibri" w:cs="Calibri"/>
          <w:b/>
          <w:color w:val="4F81BD"/>
        </w:rPr>
        <w:t>Compared to the Nation</w:t>
      </w:r>
    </w:p>
    <w:p w14:paraId="29197527" w14:textId="77777777" w:rsidR="00030A10" w:rsidRDefault="00556411">
      <w:pPr>
        <w:keepNext/>
        <w:spacing w:before="0" w:after="0"/>
        <w:ind w:hanging="720"/>
        <w:jc w:val="center"/>
        <w:rPr>
          <w:rFonts w:ascii="Calibri" w:eastAsia="Calibri" w:hAnsi="Calibri" w:cs="Calibri"/>
          <w:b/>
          <w:color w:val="4F81BD"/>
        </w:rPr>
      </w:pPr>
      <w:r>
        <w:rPr>
          <w:noProof/>
        </w:rPr>
        <w:drawing>
          <wp:inline distT="114300" distB="114300" distL="114300" distR="114300" wp14:anchorId="06D910D0" wp14:editId="5066BCD3">
            <wp:extent cx="3405188" cy="23145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864" r="-1644" b="-2588"/>
                    <a:stretch>
                      <a:fillRect/>
                    </a:stretch>
                  </pic:blipFill>
                  <pic:spPr>
                    <a:xfrm>
                      <a:off x="0" y="0"/>
                      <a:ext cx="3405188" cy="2314575"/>
                    </a:xfrm>
                    <a:prstGeom prst="rect">
                      <a:avLst/>
                    </a:prstGeom>
                    <a:ln/>
                  </pic:spPr>
                </pic:pic>
              </a:graphicData>
            </a:graphic>
          </wp:inline>
        </w:drawing>
      </w:r>
    </w:p>
    <w:p w14:paraId="50B011BD" w14:textId="77777777" w:rsidR="00030A10" w:rsidRDefault="00556411">
      <w:pPr>
        <w:widowControl w:val="0"/>
        <w:spacing w:before="0" w:after="0"/>
      </w:pPr>
      <w:r>
        <w:t xml:space="preserve">Since this measure is calculated by Hospital Compare using Medicare claims data and includes only Medicare patients, payer stakeholders of the PMWG have voiced support for expanding this measure to the commercial population and other payers if feasible.  In addition, staff notes that this measure is applicable only to patients in the inpatient setting. With the removal of hip and knee replacement procedures from the Medicare “inpatient only” list--procedures for which Medicare will reimburse only if performed in the inpatient setting--, and the shift of these procedures to the outpatient setting, staff believes the QBR re-design  subgroup should consider both payer and care setting applicability options for measure expansion. </w:t>
      </w:r>
    </w:p>
    <w:p w14:paraId="0DA55ED3" w14:textId="77777777" w:rsidR="00030A10" w:rsidRDefault="00030A10">
      <w:pPr>
        <w:widowControl w:val="0"/>
        <w:pBdr>
          <w:top w:val="nil"/>
          <w:left w:val="nil"/>
          <w:bottom w:val="nil"/>
          <w:right w:val="nil"/>
          <w:between w:val="nil"/>
        </w:pBdr>
        <w:spacing w:before="0" w:after="0"/>
        <w:ind w:hanging="720"/>
      </w:pPr>
    </w:p>
    <w:p w14:paraId="1C336BFE" w14:textId="77777777" w:rsidR="00030A10" w:rsidRDefault="00556411">
      <w:pPr>
        <w:widowControl w:val="0"/>
        <w:pBdr>
          <w:top w:val="nil"/>
          <w:left w:val="nil"/>
          <w:bottom w:val="nil"/>
          <w:right w:val="nil"/>
          <w:between w:val="nil"/>
        </w:pBdr>
        <w:spacing w:before="0" w:after="0"/>
        <w:rPr>
          <w:color w:val="000000"/>
        </w:rPr>
      </w:pPr>
      <w:r>
        <w:rPr>
          <w:b/>
          <w:color w:val="000000"/>
        </w:rPr>
        <w:t xml:space="preserve">Staff recommends </w:t>
      </w:r>
      <w:r>
        <w:rPr>
          <w:b/>
        </w:rPr>
        <w:t xml:space="preserve">continuing to include </w:t>
      </w:r>
      <w:r>
        <w:rPr>
          <w:b/>
          <w:color w:val="000000"/>
        </w:rPr>
        <w:t>the inpatient mortality measure and hip and knee replacement complication measure in the Clinical Care domain consistent with the VBP program, and continuing to weight the Clinical Care domain at 15</w:t>
      </w:r>
      <w:r>
        <w:rPr>
          <w:b/>
        </w:rPr>
        <w:t xml:space="preserve"> percent</w:t>
      </w:r>
      <w:r>
        <w:rPr>
          <w:b/>
          <w:color w:val="000000"/>
        </w:rPr>
        <w:t>.</w:t>
      </w:r>
    </w:p>
    <w:p w14:paraId="7BC2B09C" w14:textId="77777777" w:rsidR="00030A10" w:rsidRDefault="00556411">
      <w:r>
        <w:t xml:space="preserve">Appendix IV details the available published performance standards (for VBP measures) for each measure by domain for RY2022; staff will calculate and disseminate the inpatient mortality standards when Version 37 of the 3M APR DRG grouper is implemented.  </w:t>
      </w:r>
    </w:p>
    <w:p w14:paraId="76FE397E" w14:textId="77777777" w:rsidR="00030A10" w:rsidRDefault="00556411">
      <w:pPr>
        <w:pStyle w:val="Heading2"/>
      </w:pPr>
      <w:bookmarkStart w:id="17" w:name="_Toc26345145"/>
      <w:r>
        <w:t>Revenue Adjustment Modeling</w:t>
      </w:r>
      <w:bookmarkEnd w:id="17"/>
      <w:r>
        <w:t xml:space="preserve"> </w:t>
      </w:r>
    </w:p>
    <w:p w14:paraId="11F09B79" w14:textId="771B986E" w:rsidR="00030A10" w:rsidRDefault="00556411">
      <w:pPr>
        <w:pBdr>
          <w:top w:val="nil"/>
          <w:left w:val="nil"/>
          <w:bottom w:val="nil"/>
          <w:right w:val="nil"/>
          <w:between w:val="nil"/>
        </w:pBdr>
        <w:spacing w:before="60"/>
        <w:rPr>
          <w:color w:val="000000"/>
        </w:rPr>
      </w:pPr>
      <w:r>
        <w:rPr>
          <w:color w:val="000000"/>
        </w:rPr>
        <w:t xml:space="preserve">HSCRC staff modeled hospital QBR scores and revenue adjustments </w:t>
      </w:r>
      <w:r>
        <w:t>using</w:t>
      </w:r>
      <w:r>
        <w:rPr>
          <w:color w:val="000000"/>
        </w:rPr>
        <w:t xml:space="preserve"> the </w:t>
      </w:r>
      <w:r>
        <w:t xml:space="preserve">methodology </w:t>
      </w:r>
      <w:r>
        <w:rPr>
          <w:color w:val="000000"/>
        </w:rPr>
        <w:t>approved for RY 202</w:t>
      </w:r>
      <w:r>
        <w:t xml:space="preserve">1.  This includes maintaining the reward/penalty cut-point at 41 percent, which is consistent with updated analyses showing that the FFY19 national average score using QBR weights is 41 percent.  The only changes in calculating the modeled QBR scores were the removal of the </w:t>
      </w:r>
      <w:r w:rsidR="00E17B10">
        <w:t>ED Wait Time</w:t>
      </w:r>
      <w:r>
        <w:t xml:space="preserve"> measure and technical updates to the inpatient mortality measure.  </w:t>
      </w:r>
    </w:p>
    <w:p w14:paraId="56893ECE" w14:textId="2249F30A" w:rsidR="00030A10" w:rsidRDefault="00556411">
      <w:pPr>
        <w:pBdr>
          <w:top w:val="nil"/>
          <w:left w:val="nil"/>
          <w:bottom w:val="nil"/>
          <w:right w:val="nil"/>
          <w:between w:val="nil"/>
        </w:pBdr>
      </w:pPr>
      <w:r>
        <w:rPr>
          <w:color w:val="000000"/>
        </w:rPr>
        <w:t xml:space="preserve">Hospital-specific domain scores and total QBR scores are included in Appendix V. </w:t>
      </w:r>
      <w:r w:rsidR="001E2681">
        <w:rPr>
          <w:color w:val="000000"/>
        </w:rPr>
        <w:t>Statewide</w:t>
      </w:r>
      <w:r w:rsidR="007223C8">
        <w:rPr>
          <w:color w:val="000000"/>
        </w:rPr>
        <w:t>,</w:t>
      </w:r>
      <w:r w:rsidR="001E2681">
        <w:rPr>
          <w:color w:val="000000"/>
        </w:rPr>
        <w:t xml:space="preserve"> the average hospital score is 35 percent; with a range from 13 to 59 percent.  </w:t>
      </w:r>
      <w:r>
        <w:rPr>
          <w:color w:val="000000"/>
        </w:rPr>
        <w:t xml:space="preserve">The modeled hospital-specific and statewide revenue impacts are found in Appendix VI.  </w:t>
      </w:r>
      <w:r>
        <w:t xml:space="preserve">Figure 11 provides the estimated statewide revenue adjustments and counts of hospitals receiving a reward and </w:t>
      </w:r>
      <w:r>
        <w:lastRenderedPageBreak/>
        <w:t xml:space="preserve">penalty and compares to the final RY 2020 QBR revenue adjustments. Overall, the estimated revenue adjustments are significantly less than the net RY 2020 due to the </w:t>
      </w:r>
      <w:r w:rsidR="00D22AE2">
        <w:t xml:space="preserve">lower cut-point (RY 2020 cut-point was 45 percent) and </w:t>
      </w:r>
      <w:r>
        <w:t>measure changes (</w:t>
      </w:r>
      <w:r w:rsidR="00E17B10">
        <w:t>ED Wait Time</w:t>
      </w:r>
      <w:r>
        <w:t xml:space="preserve"> removal, addit</w:t>
      </w:r>
      <w:r w:rsidR="00D22AE2">
        <w:t>ion of hip and knee measure)</w:t>
      </w:r>
      <w:r>
        <w:t xml:space="preserve">. </w:t>
      </w:r>
    </w:p>
    <w:p w14:paraId="6A3B5A79" w14:textId="77777777" w:rsidR="00030A10" w:rsidRDefault="00FA587C">
      <w:pPr>
        <w:widowControl w:val="0"/>
        <w:spacing w:before="0" w:after="0"/>
        <w:ind w:left="-720"/>
        <w:jc w:val="center"/>
        <w:rPr>
          <w:rFonts w:ascii="Calibri" w:eastAsia="Calibri" w:hAnsi="Calibri" w:cs="Calibri"/>
          <w:b/>
          <w:color w:val="4F81BD"/>
        </w:rPr>
      </w:pPr>
      <w:r>
        <w:rPr>
          <w:rFonts w:ascii="Calibri" w:eastAsia="Calibri" w:hAnsi="Calibri" w:cs="Calibri"/>
          <w:b/>
          <w:color w:val="4F81BD"/>
        </w:rPr>
        <w:t>Figure 11</w:t>
      </w:r>
      <w:r w:rsidR="00556411">
        <w:rPr>
          <w:rFonts w:ascii="Calibri" w:eastAsia="Calibri" w:hAnsi="Calibri" w:cs="Calibri"/>
          <w:b/>
          <w:color w:val="4F81BD"/>
        </w:rPr>
        <w:t xml:space="preserve">. Maryland THA/TKA Measure Performance </w:t>
      </w:r>
    </w:p>
    <w:p w14:paraId="020AB48B" w14:textId="77777777" w:rsidR="00030A10" w:rsidRDefault="00556411">
      <w:pPr>
        <w:widowControl w:val="0"/>
        <w:spacing w:before="0" w:after="0"/>
        <w:ind w:left="-720"/>
        <w:jc w:val="center"/>
        <w:rPr>
          <w:rFonts w:ascii="Calibri" w:eastAsia="Calibri" w:hAnsi="Calibri" w:cs="Calibri"/>
          <w:b/>
          <w:color w:val="4F81BD"/>
        </w:rPr>
      </w:pPr>
      <w:r>
        <w:rPr>
          <w:rFonts w:ascii="Calibri" w:eastAsia="Calibri" w:hAnsi="Calibri" w:cs="Calibri"/>
          <w:b/>
          <w:color w:val="4F81BD"/>
        </w:rPr>
        <w:t>Compared to the Nation</w:t>
      </w:r>
    </w:p>
    <w:p w14:paraId="6FBCF124" w14:textId="77777777" w:rsidR="00030A10" w:rsidRDefault="00556411">
      <w:pPr>
        <w:widowControl w:val="0"/>
        <w:spacing w:before="0" w:after="0"/>
        <w:ind w:left="-720"/>
        <w:jc w:val="center"/>
        <w:rPr>
          <w:rFonts w:ascii="Calibri" w:eastAsia="Calibri" w:hAnsi="Calibri" w:cs="Calibri"/>
          <w:b/>
          <w:color w:val="4F81BD"/>
        </w:rPr>
      </w:pPr>
      <w:r>
        <w:rPr>
          <w:rFonts w:ascii="Calibri" w:eastAsia="Calibri" w:hAnsi="Calibri" w:cs="Calibri"/>
          <w:b/>
          <w:noProof/>
          <w:color w:val="4F81BD"/>
        </w:rPr>
        <w:drawing>
          <wp:inline distT="114300" distB="114300" distL="114300" distR="114300" wp14:anchorId="1066CC83" wp14:editId="52C0799B">
            <wp:extent cx="5943600" cy="1790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43600" cy="1790700"/>
                    </a:xfrm>
                    <a:prstGeom prst="rect">
                      <a:avLst/>
                    </a:prstGeom>
                    <a:ln/>
                  </pic:spPr>
                </pic:pic>
              </a:graphicData>
            </a:graphic>
          </wp:inline>
        </w:drawing>
      </w:r>
    </w:p>
    <w:p w14:paraId="3E7BD835" w14:textId="53271D0B" w:rsidR="00030A10" w:rsidRDefault="00556411" w:rsidP="00556411">
      <w:pPr>
        <w:pStyle w:val="Heading1"/>
      </w:pPr>
      <w:bookmarkStart w:id="18" w:name="_24luic4p6fpx" w:colFirst="0" w:colLast="0"/>
      <w:bookmarkStart w:id="19" w:name="_Toc26345146"/>
      <w:bookmarkEnd w:id="18"/>
      <w:r>
        <w:t>QBR F</w:t>
      </w:r>
      <w:r w:rsidR="007223C8">
        <w:t>uture Updates</w:t>
      </w:r>
      <w:bookmarkEnd w:id="19"/>
    </w:p>
    <w:p w14:paraId="302249D6" w14:textId="77777777" w:rsidR="00030A10" w:rsidRPr="00F60C86" w:rsidRDefault="00556411" w:rsidP="00556411">
      <w:pPr>
        <w:rPr>
          <w:b/>
        </w:rPr>
      </w:pPr>
      <w:bookmarkStart w:id="20" w:name="_xoyrly29p82m" w:colFirst="0" w:colLast="0"/>
      <w:bookmarkEnd w:id="20"/>
      <w:r>
        <w:t xml:space="preserve">As previously mentioned, staff intends to convene a sub-group of the Performance Measurement Work Group, comprised of key </w:t>
      </w:r>
      <w:r w:rsidRPr="00F60C86">
        <w:t>stakeholders and subject-matter experts, to consider an overhaul of the QBR program in CY 2020. This group will review the existing QBR policy and goals of the TCOC model, and develop recommendations to modify the QBR program for the RY 2023 QBR Policy and beyond. Because the QBR policy assesses multiple domains of hospital quality (as opposed to the complications or readmissions program), this program is particularly well suited for expanding into new areas that are relevant under the TCOC model. To accomplish this redesign, which will necessitate consideration of measures and domains outside of those in the current program, the sub-group will consider 1) measurement selection, which will include evaluating the feasibility of including other CMS inpatient and outpatient measures, as well as retaining measures currently used, or adopting other measures that cover important all-payer clinical areas that may not be addressed by CMS measurement and reporting; and 2) methodological concerns, which will include appropriate risk adjustment, scoring, and scaling, and establishing reasonable performance targets.</w:t>
      </w:r>
    </w:p>
    <w:p w14:paraId="2E7775C1" w14:textId="77777777" w:rsidR="00030A10" w:rsidRPr="00F60C86" w:rsidRDefault="00556411" w:rsidP="00830ED1">
      <w:pPr>
        <w:rPr>
          <w:b/>
        </w:rPr>
      </w:pPr>
      <w:bookmarkStart w:id="21" w:name="_779kbhde53ru" w:colFirst="0" w:colLast="0"/>
      <w:bookmarkEnd w:id="21"/>
      <w:r w:rsidRPr="00F60C86">
        <w:t>Among the topics the sub-group may consider are the following:</w:t>
      </w:r>
    </w:p>
    <w:p w14:paraId="37ED2CE1" w14:textId="77777777" w:rsidR="00030A10" w:rsidRPr="00F60C86" w:rsidRDefault="00556411" w:rsidP="00556411">
      <w:pPr>
        <w:pStyle w:val="ListParagraph"/>
        <w:numPr>
          <w:ilvl w:val="0"/>
          <w:numId w:val="9"/>
        </w:numPr>
      </w:pPr>
      <w:bookmarkStart w:id="22" w:name="_me1or2q6m8ez" w:colFirst="0" w:colLast="0"/>
      <w:bookmarkEnd w:id="22"/>
      <w:r w:rsidRPr="00F60C86">
        <w:t xml:space="preserve">Strengthen the current incentives to improve patient experience, safety, and clinical outcomes.  </w:t>
      </w:r>
    </w:p>
    <w:p w14:paraId="27EE767C" w14:textId="302F9A06" w:rsidR="00215C2A" w:rsidRPr="00F60C86" w:rsidRDefault="00215C2A" w:rsidP="00556411">
      <w:pPr>
        <w:pStyle w:val="ListParagraph"/>
        <w:numPr>
          <w:ilvl w:val="0"/>
          <w:numId w:val="9"/>
        </w:numPr>
      </w:pPr>
      <w:r w:rsidRPr="00F60C86">
        <w:t xml:space="preserve">Consider re-adoption of ED Wait Time measures. </w:t>
      </w:r>
    </w:p>
    <w:p w14:paraId="20DF7D52" w14:textId="02444C84" w:rsidR="00030A10" w:rsidRPr="00F60C86" w:rsidRDefault="00556411" w:rsidP="00556411">
      <w:pPr>
        <w:pStyle w:val="ListParagraph"/>
        <w:numPr>
          <w:ilvl w:val="0"/>
          <w:numId w:val="9"/>
        </w:numPr>
      </w:pPr>
      <w:r w:rsidRPr="00F60C86">
        <w:t>Explore potential new QBR measures from those already in the CMS inpatient hospital reporting pipeline but not currently used in pay for performance, such as the Severe Sepsis and Septic Shock: Management Bundle measure (SEP-1).</w:t>
      </w:r>
    </w:p>
    <w:p w14:paraId="38D77480" w14:textId="77777777" w:rsidR="00030A10" w:rsidRPr="00F60C86" w:rsidRDefault="00556411" w:rsidP="00556411">
      <w:pPr>
        <w:pStyle w:val="ListParagraph"/>
        <w:numPr>
          <w:ilvl w:val="0"/>
          <w:numId w:val="9"/>
        </w:numPr>
      </w:pPr>
      <w:r w:rsidRPr="00F60C86">
        <w:lastRenderedPageBreak/>
        <w:t xml:space="preserve">Explore other available measures using measure catalogues such as the CMS’s Measure Inventory Tool and the National Quality Forum’s Quality Positioning System. </w:t>
      </w:r>
    </w:p>
    <w:p w14:paraId="3C9D37CE" w14:textId="77777777" w:rsidR="00030A10" w:rsidRPr="00F60C86" w:rsidRDefault="00556411" w:rsidP="00556411">
      <w:pPr>
        <w:pStyle w:val="ListParagraph"/>
        <w:numPr>
          <w:ilvl w:val="0"/>
          <w:numId w:val="9"/>
        </w:numPr>
      </w:pPr>
      <w:r w:rsidRPr="00F60C86">
        <w:t>Evaluate additional data sources needed for performance measurement under the TCOC model.</w:t>
      </w:r>
    </w:p>
    <w:p w14:paraId="68340078" w14:textId="3C32FED5" w:rsidR="00030A10" w:rsidRPr="00F60C86" w:rsidRDefault="00556411" w:rsidP="00870779">
      <w:pPr>
        <w:pStyle w:val="ListParagraph"/>
        <w:numPr>
          <w:ilvl w:val="0"/>
          <w:numId w:val="9"/>
        </w:numPr>
      </w:pPr>
      <w:bookmarkStart w:id="23" w:name="_ccd7qaimy6eg" w:colFirst="0" w:colLast="0"/>
      <w:bookmarkEnd w:id="23"/>
      <w:r w:rsidRPr="00F60C86">
        <w:t xml:space="preserve">Evaluate new opportunities for performance measurement as care is moved from the inpatient setting to other settings of care (e.g., outpatient hospital measures). </w:t>
      </w:r>
      <w:bookmarkStart w:id="24" w:name="_r3rulv2q4wsk" w:colFirst="0" w:colLast="0"/>
      <w:bookmarkStart w:id="25" w:name="_hx7lfybvxaep" w:colFirst="0" w:colLast="0"/>
      <w:bookmarkEnd w:id="24"/>
      <w:bookmarkEnd w:id="25"/>
      <w:r w:rsidRPr="00F60C86">
        <w:t>Ensure that financial incentives under the population-based revenue system are aligned.</w:t>
      </w:r>
    </w:p>
    <w:p w14:paraId="2E02F9ED" w14:textId="77777777" w:rsidR="00830ED1" w:rsidRPr="00F60C86" w:rsidRDefault="00556411" w:rsidP="00556411">
      <w:pPr>
        <w:pStyle w:val="ListParagraph"/>
        <w:numPr>
          <w:ilvl w:val="0"/>
          <w:numId w:val="9"/>
        </w:numPr>
      </w:pPr>
      <w:bookmarkStart w:id="26" w:name="_tg3ehwsdcfg8" w:colFirst="0" w:colLast="0"/>
      <w:bookmarkEnd w:id="26"/>
      <w:r w:rsidRPr="00F60C86">
        <w:t>Identify or develop holistic and patient-centered measures</w:t>
      </w:r>
      <w:bookmarkStart w:id="27" w:name="_wwzowabuqhs0" w:colFirst="0" w:colLast="0"/>
      <w:bookmarkEnd w:id="27"/>
      <w:r w:rsidR="00830ED1" w:rsidRPr="00F60C86">
        <w:t>.</w:t>
      </w:r>
    </w:p>
    <w:p w14:paraId="433AB604" w14:textId="77777777" w:rsidR="00030A10" w:rsidRPr="00F60C86" w:rsidRDefault="00556411" w:rsidP="00556411">
      <w:pPr>
        <w:pStyle w:val="ListParagraph"/>
        <w:numPr>
          <w:ilvl w:val="0"/>
          <w:numId w:val="9"/>
        </w:numPr>
      </w:pPr>
      <w:r w:rsidRPr="00F60C86">
        <w:t xml:space="preserve">Develop hospital pay-for-performance programs that foster accountability for broader care transformation and </w:t>
      </w:r>
      <w:r w:rsidR="00830ED1" w:rsidRPr="00F60C86">
        <w:t>population health initiatives; s</w:t>
      </w:r>
      <w:r w:rsidRPr="00F60C86">
        <w:t>pecifically, the QBR program could be utilized to support goals developed for the State Integrated Health Improvement Strategy (SIHIS) that do not fit under other quality programs.</w:t>
      </w:r>
    </w:p>
    <w:p w14:paraId="3E6584C8" w14:textId="77777777" w:rsidR="00030A10" w:rsidRPr="00F60C86" w:rsidRDefault="00556411" w:rsidP="00556411">
      <w:r w:rsidRPr="00F60C86">
        <w:t xml:space="preserve">Staff acknowledges that this redesign will require substantial work in concert with industry and a broad array of other stakeholders, including consumers, payers, cross-continuum providers, quality measurement experts, and government agencies (local, state, and federal).  Staff welcomes additional topics for consideration related to the QBR sub-group, and encourages those interested in participating in the sub-group to contact the Quality team at </w:t>
      </w:r>
      <w:r w:rsidRPr="00F60C86">
        <w:rPr>
          <w:color w:val="1155CC"/>
          <w:u w:val="single"/>
        </w:rPr>
        <w:t>hscrc.quality@maryland.gov</w:t>
      </w:r>
      <w:r w:rsidRPr="00F60C86">
        <w:t>.</w:t>
      </w:r>
    </w:p>
    <w:p w14:paraId="57A3B184" w14:textId="12F8228D" w:rsidR="00030A10" w:rsidRPr="00F60C86" w:rsidRDefault="00942BFF" w:rsidP="00351806">
      <w:pPr>
        <w:pStyle w:val="Heading1"/>
      </w:pPr>
      <w:bookmarkStart w:id="28" w:name="_9qln3wz8vyox" w:colFirst="0" w:colLast="0"/>
      <w:bookmarkStart w:id="29" w:name="_80xfh52memmx" w:colFirst="0" w:colLast="0"/>
      <w:bookmarkStart w:id="30" w:name="_Toc26345147"/>
      <w:bookmarkEnd w:id="28"/>
      <w:bookmarkEnd w:id="29"/>
      <w:r w:rsidRPr="00F60C86">
        <w:t>Stakeholder Feedback and Staff Responses</w:t>
      </w:r>
      <w:bookmarkEnd w:id="30"/>
    </w:p>
    <w:p w14:paraId="1CAFB95A" w14:textId="6F5572C3" w:rsidR="00047D2E" w:rsidRPr="00F60C86" w:rsidRDefault="00463E29" w:rsidP="00047D2E">
      <w:pPr>
        <w:pStyle w:val="Default"/>
      </w:pPr>
      <w:r w:rsidRPr="00F60C86">
        <w:t xml:space="preserve">Staff received comment letters on the draft QBR recommendation from </w:t>
      </w:r>
      <w:r w:rsidR="00140A36" w:rsidRPr="00F60C86">
        <w:t>Maryland Citizens’ Health Initiative</w:t>
      </w:r>
      <w:r w:rsidR="00A91406" w:rsidRPr="00F60C86">
        <w:t xml:space="preserve"> E</w:t>
      </w:r>
      <w:r w:rsidR="00AD0FC0" w:rsidRPr="00F60C86">
        <w:t>ducation Fund</w:t>
      </w:r>
      <w:r w:rsidR="00140A36" w:rsidRPr="00F60C86">
        <w:t xml:space="preserve"> (MCHI), </w:t>
      </w:r>
      <w:r w:rsidRPr="00F60C86">
        <w:t>CareFirst, the Maryland Chapter of the</w:t>
      </w:r>
      <w:r w:rsidR="00140A36" w:rsidRPr="00F60C86">
        <w:t xml:space="preserve"> American</w:t>
      </w:r>
      <w:r w:rsidRPr="00F60C86">
        <w:t xml:space="preserve"> College of Emergency Physicians</w:t>
      </w:r>
      <w:r w:rsidR="00316440" w:rsidRPr="00F60C86">
        <w:t xml:space="preserve"> (</w:t>
      </w:r>
      <w:r w:rsidR="00140A36" w:rsidRPr="00F60C86">
        <w:t>ACEP)</w:t>
      </w:r>
      <w:r w:rsidRPr="00F60C86">
        <w:t xml:space="preserve">, </w:t>
      </w:r>
      <w:r w:rsidR="00316440" w:rsidRPr="00F60C86">
        <w:t>Luminis Health (an integrated system comprised of Anne Arundel Medical Center and Doctors Community Hospital)</w:t>
      </w:r>
      <w:r w:rsidR="00215C2A" w:rsidRPr="00F60C86">
        <w:t>,</w:t>
      </w:r>
      <w:r w:rsidR="00316440" w:rsidRPr="00F60C86">
        <w:t xml:space="preserve"> </w:t>
      </w:r>
      <w:r w:rsidR="00140A36" w:rsidRPr="00F60C86">
        <w:t>the Maryland Hospital Association (MHA)</w:t>
      </w:r>
      <w:r w:rsidR="00047D2E" w:rsidRPr="00F60C86">
        <w:t xml:space="preserve">, </w:t>
      </w:r>
      <w:r w:rsidR="00FA55DD" w:rsidRPr="00F60C86">
        <w:t xml:space="preserve">Johns Hopkins, </w:t>
      </w:r>
      <w:r w:rsidR="00047D2E" w:rsidRPr="00F60C86">
        <w:t>and Maryla</w:t>
      </w:r>
      <w:r w:rsidR="00CF779E" w:rsidRPr="00F60C86">
        <w:t>n</w:t>
      </w:r>
      <w:r w:rsidR="00047D2E" w:rsidRPr="00F60C86">
        <w:t>d Institute for Emergency Medical Services Systems (MIEMSS).</w:t>
      </w:r>
    </w:p>
    <w:p w14:paraId="078B5750" w14:textId="5DCD1B2D" w:rsidR="00140A36" w:rsidRPr="00F60C86" w:rsidRDefault="00140A36" w:rsidP="00047D2E">
      <w:r w:rsidRPr="00F60C86">
        <w:t>The comments received with staff responses are summarized below.</w:t>
      </w:r>
    </w:p>
    <w:p w14:paraId="36001F49" w14:textId="344D018D" w:rsidR="00140A36" w:rsidRPr="00F60C86" w:rsidRDefault="00140A36" w:rsidP="00556411">
      <w:pPr>
        <w:rPr>
          <w:b/>
          <w:i/>
        </w:rPr>
      </w:pPr>
      <w:r w:rsidRPr="00F60C86">
        <w:rPr>
          <w:b/>
          <w:i/>
        </w:rPr>
        <w:t>Program Methodology</w:t>
      </w:r>
    </w:p>
    <w:p w14:paraId="09416028" w14:textId="43B04242" w:rsidR="00140A36" w:rsidRPr="00F60C86" w:rsidRDefault="006D3F64" w:rsidP="00556411">
      <w:r w:rsidRPr="00F60C86">
        <w:t>Several stakeholders registered</w:t>
      </w:r>
      <w:r w:rsidR="0086491A" w:rsidRPr="00F60C86">
        <w:t xml:space="preserve"> support</w:t>
      </w:r>
      <w:r w:rsidRPr="00F60C86">
        <w:t xml:space="preserve"> for</w:t>
      </w:r>
      <w:r w:rsidR="0086491A" w:rsidRPr="00F60C86">
        <w:t xml:space="preserve"> maintaining the current methodolog</w:t>
      </w:r>
      <w:r w:rsidRPr="00F60C86">
        <w:t>y</w:t>
      </w:r>
      <w:r w:rsidR="0086491A" w:rsidRPr="00F60C86">
        <w:t xml:space="preserve"> for scoring</w:t>
      </w:r>
      <w:r w:rsidRPr="00F60C86">
        <w:t xml:space="preserve"> cut-point</w:t>
      </w:r>
      <w:r w:rsidR="0086491A" w:rsidRPr="00F60C86">
        <w:t>, scaling</w:t>
      </w:r>
      <w:r w:rsidRPr="00F60C86">
        <w:t>,</w:t>
      </w:r>
      <w:r w:rsidR="0086491A" w:rsidRPr="00F60C86">
        <w:t xml:space="preserve"> and revenue adjustments</w:t>
      </w:r>
      <w:r w:rsidR="00047D2E" w:rsidRPr="00F60C86">
        <w:t xml:space="preserve"> (MHA and CareFirst)</w:t>
      </w:r>
      <w:r w:rsidR="0086491A" w:rsidRPr="00F60C86">
        <w:t>.</w:t>
      </w:r>
    </w:p>
    <w:p w14:paraId="2EA68D5E" w14:textId="5B876134" w:rsidR="0086491A" w:rsidRPr="00F60C86" w:rsidRDefault="0086491A" w:rsidP="004669BD">
      <w:pPr>
        <w:ind w:left="720"/>
      </w:pPr>
      <w:r w:rsidRPr="00F60C86">
        <w:rPr>
          <w:b/>
        </w:rPr>
        <w:t>Staff Response:</w:t>
      </w:r>
      <w:r w:rsidR="00047D2E" w:rsidRPr="00F60C86">
        <w:t xml:space="preserve"> </w:t>
      </w:r>
      <w:r w:rsidRPr="00F60C86">
        <w:t xml:space="preserve">Staff is not recommending </w:t>
      </w:r>
      <w:r w:rsidR="006D3F64" w:rsidRPr="00F60C86">
        <w:t xml:space="preserve">alterations to the </w:t>
      </w:r>
      <w:r w:rsidRPr="00F60C86">
        <w:t>scoring, scaling or revenue adjustment</w:t>
      </w:r>
      <w:r w:rsidR="006D3F64" w:rsidRPr="00F60C86">
        <w:t xml:space="preserve"> methodologies</w:t>
      </w:r>
      <w:r w:rsidRPr="00F60C86">
        <w:t xml:space="preserve"> for the RY 2022 policy. However, staff does propose that alternative options for these parts of the methodology be considered during the process to </w:t>
      </w:r>
      <w:r w:rsidR="006A0938" w:rsidRPr="00F60C86">
        <w:t>reconstitute</w:t>
      </w:r>
      <w:r w:rsidRPr="00F60C86">
        <w:t xml:space="preserve"> the QBR program next year.</w:t>
      </w:r>
    </w:p>
    <w:p w14:paraId="2422CD1D" w14:textId="77777777" w:rsidR="00494ACB" w:rsidRPr="00F60C86" w:rsidRDefault="00494ACB" w:rsidP="0086491A">
      <w:pPr>
        <w:rPr>
          <w:b/>
          <w:i/>
        </w:rPr>
      </w:pPr>
    </w:p>
    <w:p w14:paraId="66239C76" w14:textId="77777777" w:rsidR="00494ACB" w:rsidRPr="00F60C86" w:rsidRDefault="00494ACB" w:rsidP="0086491A">
      <w:pPr>
        <w:rPr>
          <w:b/>
          <w:i/>
        </w:rPr>
      </w:pPr>
    </w:p>
    <w:p w14:paraId="29DC0850" w14:textId="3A50B928" w:rsidR="0086491A" w:rsidRPr="00F60C86" w:rsidRDefault="0086491A" w:rsidP="0086491A">
      <w:pPr>
        <w:rPr>
          <w:b/>
          <w:i/>
        </w:rPr>
      </w:pPr>
      <w:r w:rsidRPr="00F60C86">
        <w:rPr>
          <w:b/>
          <w:i/>
        </w:rPr>
        <w:lastRenderedPageBreak/>
        <w:t>Concerns about Maryland’s Long ED Wait Times</w:t>
      </w:r>
    </w:p>
    <w:p w14:paraId="45DC122A" w14:textId="02E4064B" w:rsidR="0086491A" w:rsidRPr="00F60C86" w:rsidRDefault="0086491A" w:rsidP="0086491A">
      <w:r w:rsidRPr="00F60C86">
        <w:t>All commenters expressed concern about the s</w:t>
      </w:r>
      <w:r w:rsidR="00494ACB" w:rsidRPr="00F60C86">
        <w:t>ustained trends of extended ED Wait T</w:t>
      </w:r>
      <w:r w:rsidRPr="00F60C86">
        <w:t xml:space="preserve">imes in Maryland. </w:t>
      </w:r>
      <w:r w:rsidR="006D3F64" w:rsidRPr="00F60C86">
        <w:t>Stakeholders argued both for and against the inclusion of the OP-18b measure</w:t>
      </w:r>
      <w:r w:rsidR="00AD0FC0" w:rsidRPr="00F60C86">
        <w:t xml:space="preserve"> into the RY 2022 QBR program.</w:t>
      </w:r>
      <w:r w:rsidR="006D3F64" w:rsidRPr="00F60C86">
        <w:t xml:space="preserve"> </w:t>
      </w:r>
      <w:r w:rsidR="0016079F" w:rsidRPr="00F60C86">
        <w:t>This feedback was generated in</w:t>
      </w:r>
      <w:r w:rsidR="00AD0FC0" w:rsidRPr="00F60C86">
        <w:t xml:space="preserve"> </w:t>
      </w:r>
      <w:r w:rsidR="006D3F64" w:rsidRPr="00F60C86">
        <w:t xml:space="preserve">response to staff’s suggestion to include the </w:t>
      </w:r>
      <w:r w:rsidR="0016079F" w:rsidRPr="00F60C86">
        <w:t xml:space="preserve">OP-18b </w:t>
      </w:r>
      <w:r w:rsidR="006D3F64" w:rsidRPr="00F60C86">
        <w:t xml:space="preserve">measure following the removal of both ED-1b and ED-2b measures from CMS Hospital Compare. </w:t>
      </w:r>
      <w:r w:rsidRPr="00F60C86">
        <w:t xml:space="preserve"> </w:t>
      </w:r>
    </w:p>
    <w:p w14:paraId="29163476" w14:textId="36462210" w:rsidR="008746E4" w:rsidRPr="00F60C86" w:rsidRDefault="008746E4" w:rsidP="00351806">
      <w:pPr>
        <w:ind w:firstLine="360"/>
        <w:rPr>
          <w:i/>
        </w:rPr>
      </w:pPr>
      <w:r w:rsidRPr="00F60C86">
        <w:rPr>
          <w:i/>
        </w:rPr>
        <w:t xml:space="preserve">Arguments </w:t>
      </w:r>
      <w:r w:rsidR="00351806" w:rsidRPr="00F60C86">
        <w:rPr>
          <w:i/>
        </w:rPr>
        <w:t>For OP-18b M</w:t>
      </w:r>
      <w:r w:rsidRPr="00F60C86">
        <w:rPr>
          <w:i/>
        </w:rPr>
        <w:t xml:space="preserve">easure </w:t>
      </w:r>
      <w:r w:rsidR="00351806" w:rsidRPr="00F60C86">
        <w:rPr>
          <w:i/>
        </w:rPr>
        <w:t>I</w:t>
      </w:r>
      <w:r w:rsidRPr="00F60C86">
        <w:rPr>
          <w:i/>
        </w:rPr>
        <w:t>nclusion:</w:t>
      </w:r>
    </w:p>
    <w:p w14:paraId="22AF0DF2" w14:textId="5285EE30" w:rsidR="008746E4" w:rsidRPr="00F60C86" w:rsidRDefault="004233F5" w:rsidP="000C5C0A">
      <w:pPr>
        <w:pStyle w:val="ListParagraph"/>
        <w:numPr>
          <w:ilvl w:val="0"/>
          <w:numId w:val="13"/>
        </w:numPr>
      </w:pPr>
      <w:r w:rsidRPr="00F60C86">
        <w:t xml:space="preserve">OP-18b represents the experience of the majority of </w:t>
      </w:r>
      <w:r w:rsidR="008746E4" w:rsidRPr="00F60C86">
        <w:t xml:space="preserve">patients who visit the Emergency Department, “since the majority </w:t>
      </w:r>
      <w:r w:rsidRPr="00F60C86">
        <w:t>of ED visits result in no admission”</w:t>
      </w:r>
      <w:r w:rsidR="00DE3D45" w:rsidRPr="00F60C86">
        <w:t xml:space="preserve"> (Luminis, CareFirst)</w:t>
      </w:r>
      <w:r w:rsidRPr="00F60C86">
        <w:t xml:space="preserve">. </w:t>
      </w:r>
    </w:p>
    <w:p w14:paraId="0F57A625" w14:textId="6EEA26CE" w:rsidR="0018220E" w:rsidRPr="00F60C86" w:rsidRDefault="004233F5" w:rsidP="00F01F66">
      <w:pPr>
        <w:pStyle w:val="ListParagraph"/>
        <w:numPr>
          <w:ilvl w:val="0"/>
          <w:numId w:val="13"/>
        </w:numPr>
      </w:pPr>
      <w:r w:rsidRPr="00F60C86">
        <w:t>“Longer ED wait times erode patient confidence in the hospital system and are perceived by many as an indicator of poor quality care provision”</w:t>
      </w:r>
      <w:r w:rsidR="00DE3D45" w:rsidRPr="00F60C86">
        <w:t xml:space="preserve"> (MCHI).</w:t>
      </w:r>
    </w:p>
    <w:p w14:paraId="5FC195C7" w14:textId="47278394" w:rsidR="008746E4" w:rsidRPr="00F60C86" w:rsidRDefault="008746E4" w:rsidP="004669BD">
      <w:pPr>
        <w:ind w:firstLine="360"/>
        <w:rPr>
          <w:i/>
        </w:rPr>
      </w:pPr>
      <w:r w:rsidRPr="00F60C86">
        <w:rPr>
          <w:i/>
        </w:rPr>
        <w:t xml:space="preserve">Arguments </w:t>
      </w:r>
      <w:r w:rsidR="004B0C25" w:rsidRPr="00F60C86">
        <w:rPr>
          <w:i/>
        </w:rPr>
        <w:t>A</w:t>
      </w:r>
      <w:r w:rsidR="00351806" w:rsidRPr="00F60C86">
        <w:rPr>
          <w:i/>
        </w:rPr>
        <w:t>gainst</w:t>
      </w:r>
      <w:r w:rsidRPr="00F60C86">
        <w:rPr>
          <w:i/>
        </w:rPr>
        <w:t xml:space="preserve"> OP-18b </w:t>
      </w:r>
      <w:r w:rsidR="004B0C25" w:rsidRPr="00F60C86">
        <w:rPr>
          <w:i/>
        </w:rPr>
        <w:t>M</w:t>
      </w:r>
      <w:r w:rsidRPr="00F60C86">
        <w:rPr>
          <w:i/>
        </w:rPr>
        <w:t xml:space="preserve">easure </w:t>
      </w:r>
      <w:r w:rsidR="004B0C25" w:rsidRPr="00F60C86">
        <w:rPr>
          <w:i/>
        </w:rPr>
        <w:t>I</w:t>
      </w:r>
      <w:r w:rsidRPr="00F60C86">
        <w:rPr>
          <w:i/>
        </w:rPr>
        <w:t>nclusion:</w:t>
      </w:r>
    </w:p>
    <w:p w14:paraId="1B789970" w14:textId="2344F521" w:rsidR="008746E4" w:rsidRPr="00F60C86" w:rsidRDefault="004233F5" w:rsidP="000C5C0A">
      <w:pPr>
        <w:pStyle w:val="ListParagraph"/>
        <w:numPr>
          <w:ilvl w:val="0"/>
          <w:numId w:val="13"/>
        </w:numPr>
      </w:pPr>
      <w:r w:rsidRPr="00F60C86">
        <w:t xml:space="preserve">Hospitals have undertaken significant efforts to reduce avoidable admissions, which include additional care coordination and treatment in the </w:t>
      </w:r>
      <w:r w:rsidR="00DE3D45" w:rsidRPr="00F60C86">
        <w:t>E</w:t>
      </w:r>
      <w:r w:rsidRPr="00F60C86">
        <w:t xml:space="preserve">mergency </w:t>
      </w:r>
      <w:r w:rsidR="00DE3D45" w:rsidRPr="00F60C86">
        <w:t>D</w:t>
      </w:r>
      <w:r w:rsidRPr="00F60C86">
        <w:t>epartment. These additional efforts will increase the OP-18b wait time but are indicative of proper care under the global budget model</w:t>
      </w:r>
      <w:r w:rsidR="00DE3D45" w:rsidRPr="00F60C86">
        <w:t xml:space="preserve"> (ACEP, MHA</w:t>
      </w:r>
      <w:r w:rsidR="001A3961" w:rsidRPr="00F60C86">
        <w:t>, Johns Hopkins Medicine</w:t>
      </w:r>
      <w:r w:rsidR="00DE3D45" w:rsidRPr="00F60C86">
        <w:t>).</w:t>
      </w:r>
    </w:p>
    <w:p w14:paraId="0057214E" w14:textId="3C78747E" w:rsidR="004233F5" w:rsidRPr="00F60C86" w:rsidRDefault="004233F5" w:rsidP="000C5C0A">
      <w:pPr>
        <w:pStyle w:val="ListParagraph"/>
        <w:numPr>
          <w:ilvl w:val="0"/>
          <w:numId w:val="13"/>
        </w:numPr>
      </w:pPr>
      <w:r w:rsidRPr="00F60C86">
        <w:t>Trends in Emergency Department utilization suggest that, while overall visits are declining, the relative complexity of patients is increasing. Additionally, behavioral health ED visits are trending upwards</w:t>
      </w:r>
      <w:r w:rsidR="00DE3D45" w:rsidRPr="00F60C86">
        <w:t xml:space="preserve"> (MHA)</w:t>
      </w:r>
      <w:r w:rsidRPr="00F60C86">
        <w:t>.</w:t>
      </w:r>
    </w:p>
    <w:p w14:paraId="541D96FC" w14:textId="71005E42" w:rsidR="004233F5" w:rsidRPr="00F60C86" w:rsidRDefault="004233F5" w:rsidP="00321DD4">
      <w:pPr>
        <w:pStyle w:val="ListParagraph"/>
      </w:pPr>
    </w:p>
    <w:p w14:paraId="3062D696" w14:textId="2CF96E77" w:rsidR="00AD0FC0" w:rsidRPr="00F60C86" w:rsidRDefault="004233F5" w:rsidP="004669BD">
      <w:pPr>
        <w:ind w:firstLine="360"/>
        <w:rPr>
          <w:i/>
        </w:rPr>
      </w:pPr>
      <w:r w:rsidRPr="00F60C86">
        <w:rPr>
          <w:i/>
        </w:rPr>
        <w:t xml:space="preserve">Other </w:t>
      </w:r>
      <w:r w:rsidR="004B0C25" w:rsidRPr="00F60C86">
        <w:rPr>
          <w:i/>
        </w:rPr>
        <w:t>S</w:t>
      </w:r>
      <w:r w:rsidRPr="00F60C86">
        <w:rPr>
          <w:i/>
        </w:rPr>
        <w:t xml:space="preserve">uggestions to </w:t>
      </w:r>
      <w:r w:rsidR="004B0C25" w:rsidRPr="00F60C86">
        <w:rPr>
          <w:i/>
        </w:rPr>
        <w:t>A</w:t>
      </w:r>
      <w:r w:rsidRPr="00F60C86">
        <w:rPr>
          <w:i/>
        </w:rPr>
        <w:t>ddress the ED Throughput Issue:</w:t>
      </w:r>
    </w:p>
    <w:p w14:paraId="49963AEE" w14:textId="7DFB69B4" w:rsidR="00D63450" w:rsidRPr="00F60C86" w:rsidRDefault="00D63450" w:rsidP="00D63450">
      <w:pPr>
        <w:pStyle w:val="ListParagraph"/>
        <w:numPr>
          <w:ilvl w:val="0"/>
          <w:numId w:val="13"/>
        </w:numPr>
      </w:pPr>
      <w:r w:rsidRPr="00F60C86">
        <w:t>Ask hospitals to directly report ED-2b, a better metric of the “boarding” of patients who should be admitted</w:t>
      </w:r>
      <w:r w:rsidR="00321DD4" w:rsidRPr="00F60C86">
        <w:t>; hospitals should begin direct reporting to HSCRC for CY 2020 so there is not a gap in measurement and in accountability through the QBR program (ACEP, CareFirst, MIEMSS)</w:t>
      </w:r>
      <w:r w:rsidRPr="00F60C86">
        <w:t>.</w:t>
      </w:r>
    </w:p>
    <w:p w14:paraId="1939A7ED" w14:textId="2EBFCE3C" w:rsidR="00627AF1" w:rsidRPr="00F60C86" w:rsidDel="0018220E" w:rsidRDefault="00321DD4" w:rsidP="000C5C0A">
      <w:pPr>
        <w:pStyle w:val="ListParagraph"/>
        <w:numPr>
          <w:ilvl w:val="0"/>
          <w:numId w:val="13"/>
        </w:numPr>
      </w:pPr>
      <w:r w:rsidRPr="00F60C86" w:rsidDel="0018220E">
        <w:t>Concurrent with including ED-2b</w:t>
      </w:r>
      <w:r w:rsidR="00AF4979" w:rsidRPr="00F60C86" w:rsidDel="0018220E">
        <w:t xml:space="preserve"> in QBR</w:t>
      </w:r>
      <w:r w:rsidRPr="00F60C86" w:rsidDel="0018220E">
        <w:t xml:space="preserve"> through direct reporting to HSCRC, </w:t>
      </w:r>
      <w:r w:rsidR="004B0C25" w:rsidRPr="00F60C86" w:rsidDel="0018220E">
        <w:t>“…</w:t>
      </w:r>
      <w:r w:rsidR="004B0C25" w:rsidRPr="00F60C86" w:rsidDel="0018220E">
        <w:rPr>
          <w:sz w:val="23"/>
          <w:szCs w:val="23"/>
        </w:rPr>
        <w:t>placing value on this measure [</w:t>
      </w:r>
      <w:r w:rsidR="004B0C25" w:rsidRPr="00F60C86" w:rsidDel="0018220E">
        <w:t xml:space="preserve">OP-18b] </w:t>
      </w:r>
      <w:r w:rsidR="004B0C25" w:rsidRPr="00F60C86" w:rsidDel="0018220E">
        <w:rPr>
          <w:sz w:val="23"/>
          <w:szCs w:val="23"/>
        </w:rPr>
        <w:t xml:space="preserve">will help our understanding and management of complex systems issues” </w:t>
      </w:r>
      <w:r w:rsidR="00494ACB" w:rsidRPr="00F60C86" w:rsidDel="0018220E">
        <w:rPr>
          <w:sz w:val="23"/>
          <w:szCs w:val="23"/>
        </w:rPr>
        <w:t>(MIEMSS)</w:t>
      </w:r>
    </w:p>
    <w:p w14:paraId="63CCFC04" w14:textId="694B8DDB" w:rsidR="004233F5" w:rsidRPr="00F60C86" w:rsidRDefault="004233F5" w:rsidP="000C5C0A">
      <w:pPr>
        <w:pStyle w:val="ListParagraph"/>
        <w:numPr>
          <w:ilvl w:val="0"/>
          <w:numId w:val="13"/>
        </w:numPr>
      </w:pPr>
      <w:r w:rsidRPr="00F60C86">
        <w:t xml:space="preserve">Consider including time on ED diversion status, as well as a measure of hospital capacity, to </w:t>
      </w:r>
      <w:r w:rsidR="000C5C0A" w:rsidRPr="00F60C86">
        <w:t>better understand the challenges to addressing ED throughput</w:t>
      </w:r>
      <w:r w:rsidR="00321DD4" w:rsidRPr="00F60C86">
        <w:t xml:space="preserve"> (</w:t>
      </w:r>
      <w:r w:rsidR="00AF4979" w:rsidRPr="00F60C86">
        <w:t>Luminis</w:t>
      </w:r>
      <w:r w:rsidR="00321DD4" w:rsidRPr="00F60C86">
        <w:t>)</w:t>
      </w:r>
    </w:p>
    <w:p w14:paraId="4143804D" w14:textId="5FDB4501" w:rsidR="004233F5" w:rsidRPr="00F60C86" w:rsidRDefault="00351806" w:rsidP="000C5C0A">
      <w:pPr>
        <w:pStyle w:val="ListParagraph"/>
        <w:numPr>
          <w:ilvl w:val="0"/>
          <w:numId w:val="13"/>
        </w:numPr>
      </w:pPr>
      <w:r w:rsidRPr="00F60C86">
        <w:t>Consider options for a</w:t>
      </w:r>
      <w:r w:rsidR="004233F5" w:rsidRPr="00F60C86">
        <w:t>djust</w:t>
      </w:r>
      <w:r w:rsidRPr="00F60C86">
        <w:t>ing</w:t>
      </w:r>
      <w:r w:rsidR="004233F5" w:rsidRPr="00F60C86">
        <w:t xml:space="preserve"> </w:t>
      </w:r>
      <w:r w:rsidR="00494ACB" w:rsidRPr="00F60C86">
        <w:t>ED Wait Ti</w:t>
      </w:r>
      <w:r w:rsidR="004233F5" w:rsidRPr="00F60C86">
        <w:t>me measures for bed capacity and socioeconomic status</w:t>
      </w:r>
      <w:r w:rsidRPr="00F60C86">
        <w:t>, but pending the completion of this work, it is of paramount importance that we continue to track and incentivize hospitals’ efforts to reduce ED wait times</w:t>
      </w:r>
      <w:r w:rsidR="0032691F" w:rsidRPr="00F60C86">
        <w:t xml:space="preserve"> (CareFirst)</w:t>
      </w:r>
      <w:r w:rsidR="004233F5" w:rsidRPr="00F60C86">
        <w:t>.</w:t>
      </w:r>
    </w:p>
    <w:p w14:paraId="3AD3AA69" w14:textId="14E34644" w:rsidR="000C5C0A" w:rsidRPr="00F60C86" w:rsidRDefault="000C5C0A" w:rsidP="000C5C0A">
      <w:pPr>
        <w:pStyle w:val="ListParagraph"/>
        <w:numPr>
          <w:ilvl w:val="0"/>
          <w:numId w:val="13"/>
        </w:numPr>
        <w:rPr>
          <w:strike/>
        </w:rPr>
      </w:pPr>
      <w:r w:rsidRPr="00F60C86">
        <w:t>Score hospitals on ED Wait Times on both improvement and attainment</w:t>
      </w:r>
      <w:r w:rsidR="0018220E" w:rsidRPr="00F60C86">
        <w:t xml:space="preserve"> (Luminis)</w:t>
      </w:r>
      <w:r w:rsidR="00494ACB" w:rsidRPr="00F60C86">
        <w:t>.</w:t>
      </w:r>
    </w:p>
    <w:p w14:paraId="277CC5B6" w14:textId="363FA647" w:rsidR="001A3961" w:rsidRPr="00F60C86" w:rsidRDefault="001A3961" w:rsidP="000C5C0A">
      <w:pPr>
        <w:pStyle w:val="ListParagraph"/>
        <w:numPr>
          <w:ilvl w:val="0"/>
          <w:numId w:val="13"/>
        </w:numPr>
        <w:rPr>
          <w:strike/>
        </w:rPr>
      </w:pPr>
      <w:r w:rsidRPr="00F60C86">
        <w:t xml:space="preserve">Given multiple factors contributing to ED Throughput concerns (both within and outside of hospital control), delay inclusion of </w:t>
      </w:r>
      <w:r w:rsidR="00FF34F7" w:rsidRPr="00F60C86">
        <w:t xml:space="preserve">any </w:t>
      </w:r>
      <w:r w:rsidRPr="00F60C86">
        <w:t>ED Wait Time measures in QBR program pending further review through QBR Re-design (Johns Hopkins Medicine).</w:t>
      </w:r>
    </w:p>
    <w:p w14:paraId="005FDE88" w14:textId="2404A1D8" w:rsidR="000C5C0A" w:rsidRPr="00F60C86" w:rsidRDefault="000C5C0A" w:rsidP="004B0C25">
      <w:pPr>
        <w:ind w:left="720"/>
      </w:pPr>
      <w:r w:rsidRPr="00F60C86">
        <w:rPr>
          <w:b/>
        </w:rPr>
        <w:lastRenderedPageBreak/>
        <w:t xml:space="preserve">Staff </w:t>
      </w:r>
      <w:r w:rsidR="00047D2E" w:rsidRPr="00F60C86">
        <w:rPr>
          <w:b/>
        </w:rPr>
        <w:t>R</w:t>
      </w:r>
      <w:r w:rsidRPr="00F60C86">
        <w:rPr>
          <w:b/>
        </w:rPr>
        <w:t>esponse:</w:t>
      </w:r>
      <w:r w:rsidRPr="00F60C86">
        <w:t xml:space="preserve"> Staff agrees that </w:t>
      </w:r>
      <w:r w:rsidR="0032691F" w:rsidRPr="00F60C86">
        <w:t>E</w:t>
      </w:r>
      <w:r w:rsidRPr="00F60C86">
        <w:t xml:space="preserve">mergency </w:t>
      </w:r>
      <w:r w:rsidR="0032691F" w:rsidRPr="00F60C86">
        <w:t>D</w:t>
      </w:r>
      <w:r w:rsidRPr="00F60C86">
        <w:t>epartment throughput remains an area of concern</w:t>
      </w:r>
      <w:r w:rsidR="0032691F" w:rsidRPr="00F60C86">
        <w:t xml:space="preserve"> and</w:t>
      </w:r>
      <w:r w:rsidR="0032691F" w:rsidRPr="00F60C86">
        <w:rPr>
          <w:color w:val="222222"/>
          <w:shd w:val="clear" w:color="auto" w:fill="FFFFFF"/>
        </w:rPr>
        <w:t xml:space="preserve"> acknowledges stakeholder feedback that the ED-2b measure should continue to be collected, as the preferred measure of "boarding" and </w:t>
      </w:r>
      <w:r w:rsidR="00351806" w:rsidRPr="00F60C86">
        <w:rPr>
          <w:color w:val="222222"/>
          <w:shd w:val="clear" w:color="auto" w:fill="FFFFFF"/>
        </w:rPr>
        <w:t xml:space="preserve">of </w:t>
      </w:r>
      <w:r w:rsidR="0032691F" w:rsidRPr="00F60C86">
        <w:rPr>
          <w:color w:val="222222"/>
          <w:shd w:val="clear" w:color="auto" w:fill="FFFFFF"/>
        </w:rPr>
        <w:t xml:space="preserve">overall hospital throughput efficiency. </w:t>
      </w:r>
      <w:r w:rsidR="00494ACB" w:rsidRPr="00F60C86">
        <w:rPr>
          <w:color w:val="222222"/>
          <w:shd w:val="clear" w:color="auto" w:fill="FFFFFF"/>
        </w:rPr>
        <w:t xml:space="preserve">HSCRC clarifies that the source of </w:t>
      </w:r>
      <w:r w:rsidR="0032691F" w:rsidRPr="00F60C86">
        <w:rPr>
          <w:color w:val="222222"/>
          <w:shd w:val="clear" w:color="auto" w:fill="FFFFFF"/>
        </w:rPr>
        <w:t xml:space="preserve">information regarding ED Wait Times </w:t>
      </w:r>
      <w:r w:rsidR="0018220E" w:rsidRPr="00F60C86">
        <w:rPr>
          <w:color w:val="222222"/>
          <w:shd w:val="clear" w:color="auto" w:fill="FFFFFF"/>
        </w:rPr>
        <w:t xml:space="preserve">is </w:t>
      </w:r>
      <w:r w:rsidR="0032691F" w:rsidRPr="00F60C86">
        <w:rPr>
          <w:color w:val="222222"/>
          <w:shd w:val="clear" w:color="auto" w:fill="FFFFFF"/>
        </w:rPr>
        <w:t xml:space="preserve">CMS Hospital Compare, and without this source data, staff is at present unable to </w:t>
      </w:r>
      <w:r w:rsidR="00204994" w:rsidRPr="00F60C86">
        <w:rPr>
          <w:color w:val="222222"/>
          <w:shd w:val="clear" w:color="auto" w:fill="FFFFFF"/>
        </w:rPr>
        <w:t xml:space="preserve">easily </w:t>
      </w:r>
      <w:r w:rsidR="0032691F" w:rsidRPr="00F60C86">
        <w:rPr>
          <w:color w:val="222222"/>
          <w:shd w:val="clear" w:color="auto" w:fill="FFFFFF"/>
        </w:rPr>
        <w:t xml:space="preserve">collect ED Wait time data. </w:t>
      </w:r>
      <w:r w:rsidR="00351806" w:rsidRPr="00F60C86">
        <w:rPr>
          <w:color w:val="222222"/>
          <w:shd w:val="clear" w:color="auto" w:fill="FFFFFF"/>
        </w:rPr>
        <w:t>HSCRC would need to establish data collection, reporting and auditing parameters</w:t>
      </w:r>
      <w:r w:rsidR="0018220E" w:rsidRPr="00F60C86">
        <w:rPr>
          <w:color w:val="222222"/>
          <w:shd w:val="clear" w:color="auto" w:fill="FFFFFF"/>
        </w:rPr>
        <w:t>,</w:t>
      </w:r>
      <w:r w:rsidR="00351806" w:rsidRPr="00F60C86">
        <w:rPr>
          <w:color w:val="222222"/>
          <w:shd w:val="clear" w:color="auto" w:fill="FFFFFF"/>
        </w:rPr>
        <w:t xml:space="preserve"> and infrastructure in order to collect the ED Wait Time measures for patients </w:t>
      </w:r>
      <w:r w:rsidR="0018220E" w:rsidRPr="00F60C86">
        <w:rPr>
          <w:color w:val="222222"/>
          <w:shd w:val="clear" w:color="auto" w:fill="FFFFFF"/>
        </w:rPr>
        <w:t xml:space="preserve">who </w:t>
      </w:r>
      <w:r w:rsidR="00351806" w:rsidRPr="00F60C86">
        <w:rPr>
          <w:color w:val="222222"/>
          <w:shd w:val="clear" w:color="auto" w:fill="FFFFFF"/>
        </w:rPr>
        <w:t>are admitted.  S</w:t>
      </w:r>
      <w:r w:rsidR="00494ACB" w:rsidRPr="00F60C86">
        <w:rPr>
          <w:color w:val="222222"/>
          <w:shd w:val="clear" w:color="auto" w:fill="FFFFFF"/>
        </w:rPr>
        <w:t>taff views this proposal as</w:t>
      </w:r>
      <w:r w:rsidR="00351806" w:rsidRPr="00F60C86">
        <w:rPr>
          <w:color w:val="222222"/>
          <w:shd w:val="clear" w:color="auto" w:fill="FFFFFF"/>
        </w:rPr>
        <w:t xml:space="preserve"> </w:t>
      </w:r>
      <w:r w:rsidR="00494ACB" w:rsidRPr="00F60C86">
        <w:rPr>
          <w:color w:val="222222"/>
          <w:shd w:val="clear" w:color="auto" w:fill="FFFFFF"/>
        </w:rPr>
        <w:t xml:space="preserve">not feasible at this time. </w:t>
      </w:r>
      <w:r w:rsidR="0032691F" w:rsidRPr="00F60C86">
        <w:rPr>
          <w:color w:val="222222"/>
          <w:shd w:val="clear" w:color="auto" w:fill="FFFFFF"/>
        </w:rPr>
        <w:t xml:space="preserve">Fortunately, CMS has created an electronic clinical quality measure of ED-2b, which staff can incorporate into mandatory collection and reporting during the QBR re-design. </w:t>
      </w:r>
      <w:r w:rsidRPr="00F60C86">
        <w:t xml:space="preserve">Staff will explore how to receive </w:t>
      </w:r>
      <w:r w:rsidR="00F427A8" w:rsidRPr="00F60C86">
        <w:t>validated</w:t>
      </w:r>
      <w:r w:rsidRPr="00F60C86">
        <w:t xml:space="preserve"> ED wait time data (potentially as a mandated eCQM) over the coming year with the QBR re-design group. Staff does not recommend including OP-18b </w:t>
      </w:r>
      <w:r w:rsidR="00494ACB" w:rsidRPr="00F60C86">
        <w:t xml:space="preserve">but </w:t>
      </w:r>
      <w:r w:rsidR="00F427A8" w:rsidRPr="00F60C86">
        <w:t xml:space="preserve">as with the ED-2b measure staff </w:t>
      </w:r>
      <w:r w:rsidR="00494ACB" w:rsidRPr="00F60C86">
        <w:t xml:space="preserve">agrees </w:t>
      </w:r>
      <w:r w:rsidR="0018220E" w:rsidRPr="00F60C86">
        <w:t xml:space="preserve">that </w:t>
      </w:r>
      <w:r w:rsidR="00494ACB" w:rsidRPr="00F60C86">
        <w:t xml:space="preserve">this </w:t>
      </w:r>
      <w:r w:rsidR="00870779" w:rsidRPr="00F60C86">
        <w:t xml:space="preserve">should </w:t>
      </w:r>
      <w:r w:rsidR="00494ACB" w:rsidRPr="00F60C86">
        <w:t>be</w:t>
      </w:r>
      <w:r w:rsidR="0017041E" w:rsidRPr="00F60C86">
        <w:t xml:space="preserve"> considered for</w:t>
      </w:r>
      <w:r w:rsidR="00494ACB" w:rsidRPr="00F60C86">
        <w:t xml:space="preserve"> inclu</w:t>
      </w:r>
      <w:r w:rsidR="0017041E" w:rsidRPr="00F60C86">
        <w:t>sion</w:t>
      </w:r>
      <w:r w:rsidR="00494ACB" w:rsidRPr="00F60C86">
        <w:t xml:space="preserve"> in the future </w:t>
      </w:r>
      <w:r w:rsidR="00F427A8" w:rsidRPr="00F60C86">
        <w:t xml:space="preserve">along </w:t>
      </w:r>
      <w:r w:rsidR="00494ACB" w:rsidRPr="00F60C86">
        <w:t xml:space="preserve">with other measures of hospital throughput and </w:t>
      </w:r>
      <w:r w:rsidR="0017041E" w:rsidRPr="00F60C86">
        <w:t>efficiency. Finally</w:t>
      </w:r>
      <w:r w:rsidR="00494ACB" w:rsidRPr="00F60C86">
        <w:t>, s</w:t>
      </w:r>
      <w:r w:rsidR="00CF779E" w:rsidRPr="00F60C86">
        <w:t>taff</w:t>
      </w:r>
      <w:r w:rsidR="00494ACB" w:rsidRPr="00F60C86">
        <w:t xml:space="preserve"> </w:t>
      </w:r>
      <w:r w:rsidRPr="00F60C86">
        <w:t xml:space="preserve">notes that Maryland does not have an accurate and comprehensive measure of ED diversion or </w:t>
      </w:r>
      <w:r w:rsidR="003263F4" w:rsidRPr="00F60C86">
        <w:t>c</w:t>
      </w:r>
      <w:r w:rsidRPr="00F60C86">
        <w:t xml:space="preserve">apacity at this time, and would need to work with stakeholders before using such metrics to adjust measures of ED throughput. </w:t>
      </w:r>
    </w:p>
    <w:p w14:paraId="10FB4A0E" w14:textId="01809226" w:rsidR="00D63450" w:rsidRPr="00F60C86" w:rsidRDefault="004669BD" w:rsidP="00D63450">
      <w:pPr>
        <w:rPr>
          <w:b/>
          <w:i/>
        </w:rPr>
      </w:pPr>
      <w:r w:rsidRPr="00F60C86">
        <w:rPr>
          <w:b/>
          <w:i/>
        </w:rPr>
        <w:t>F</w:t>
      </w:r>
      <w:r w:rsidR="00D63450" w:rsidRPr="00F60C86">
        <w:rPr>
          <w:b/>
          <w:i/>
        </w:rPr>
        <w:t xml:space="preserve">eedback </w:t>
      </w:r>
      <w:r w:rsidRPr="00F60C86">
        <w:rPr>
          <w:b/>
          <w:i/>
        </w:rPr>
        <w:t>R</w:t>
      </w:r>
      <w:r w:rsidR="00D63450" w:rsidRPr="00F60C86">
        <w:rPr>
          <w:b/>
          <w:i/>
        </w:rPr>
        <w:t>egarding HCAHPS:</w:t>
      </w:r>
    </w:p>
    <w:p w14:paraId="7D4AE916" w14:textId="4671064D" w:rsidR="008746E4" w:rsidRPr="00F60C86" w:rsidRDefault="008746E4" w:rsidP="000C5C0A">
      <w:pPr>
        <w:pStyle w:val="ListParagraph"/>
        <w:numPr>
          <w:ilvl w:val="0"/>
          <w:numId w:val="11"/>
        </w:numPr>
      </w:pPr>
      <w:r w:rsidRPr="00F60C86">
        <w:t>Engage</w:t>
      </w:r>
      <w:r w:rsidR="004233F5" w:rsidRPr="00F60C86">
        <w:t xml:space="preserve"> consumers to improve HCAHPS sco</w:t>
      </w:r>
      <w:r w:rsidRPr="00F60C86">
        <w:t>res</w:t>
      </w:r>
      <w:r w:rsidR="00D63450" w:rsidRPr="00F60C86">
        <w:t xml:space="preserve"> (MCHI).</w:t>
      </w:r>
    </w:p>
    <w:p w14:paraId="7FE65497" w14:textId="77777777" w:rsidR="00D63450" w:rsidRPr="00F60C86" w:rsidRDefault="008746E4" w:rsidP="000C5C0A">
      <w:pPr>
        <w:pStyle w:val="ListParagraph"/>
        <w:numPr>
          <w:ilvl w:val="0"/>
          <w:numId w:val="11"/>
        </w:numPr>
      </w:pPr>
      <w:r w:rsidRPr="00F60C86">
        <w:t>Consider implementing focus groups to highlight hospitals with particular opportunity to improve upon HCAHPS scores</w:t>
      </w:r>
      <w:r w:rsidR="00047D2E" w:rsidRPr="00F60C86">
        <w:t xml:space="preserve"> (CareFirst).</w:t>
      </w:r>
      <w:r w:rsidR="00D63450" w:rsidRPr="00F60C86">
        <w:rPr>
          <w:b/>
        </w:rPr>
        <w:t xml:space="preserve"> </w:t>
      </w:r>
    </w:p>
    <w:p w14:paraId="2AE57B36" w14:textId="6672EA3D" w:rsidR="00351806" w:rsidRPr="00F60C86" w:rsidRDefault="00351806" w:rsidP="000C5C0A">
      <w:pPr>
        <w:pStyle w:val="ListParagraph"/>
        <w:numPr>
          <w:ilvl w:val="0"/>
          <w:numId w:val="11"/>
        </w:numPr>
      </w:pPr>
      <w:r w:rsidRPr="00F60C86">
        <w:t>Target HCAHPS hospital outliers for updating how incentives are used in QBR.</w:t>
      </w:r>
    </w:p>
    <w:p w14:paraId="62BA39AD" w14:textId="77777777" w:rsidR="00D63450" w:rsidRPr="00F60C86" w:rsidRDefault="00D63450" w:rsidP="0032691F">
      <w:pPr>
        <w:pStyle w:val="ListParagraph"/>
        <w:rPr>
          <w:b/>
        </w:rPr>
      </w:pPr>
    </w:p>
    <w:p w14:paraId="5DF129B0" w14:textId="7106BF4A" w:rsidR="008746E4" w:rsidRPr="00F60C86" w:rsidRDefault="00D63450" w:rsidP="0032691F">
      <w:pPr>
        <w:pStyle w:val="ListParagraph"/>
      </w:pPr>
      <w:r w:rsidRPr="00F60C86">
        <w:rPr>
          <w:b/>
        </w:rPr>
        <w:t>Staff Response:</w:t>
      </w:r>
      <w:r w:rsidRPr="00F60C86">
        <w:t xml:space="preserve"> Staff appreciates these additional suggestions regarding our persistently low HCAHPS scores.  S</w:t>
      </w:r>
      <w:r w:rsidR="004669BD" w:rsidRPr="00F60C86">
        <w:t xml:space="preserve">taff will consider this feedback for </w:t>
      </w:r>
      <w:r w:rsidR="00351806" w:rsidRPr="00F60C86">
        <w:t xml:space="preserve">engaging consumers to improve HCAHPS, and for </w:t>
      </w:r>
      <w:r w:rsidR="004669BD" w:rsidRPr="00F60C86">
        <w:t>updating the QBR methodology and incentive structure for HCAHPS outliers</w:t>
      </w:r>
      <w:r w:rsidR="00351806" w:rsidRPr="00F60C86">
        <w:t>,</w:t>
      </w:r>
      <w:r w:rsidR="004669BD" w:rsidRPr="00F60C86">
        <w:t xml:space="preserve"> as part of the QBR re-design in the coming year.</w:t>
      </w:r>
    </w:p>
    <w:p w14:paraId="2256A1B5" w14:textId="013FAA8D" w:rsidR="008746E4" w:rsidRPr="00F60C86" w:rsidRDefault="004669BD" w:rsidP="004669BD">
      <w:pPr>
        <w:rPr>
          <w:b/>
        </w:rPr>
      </w:pPr>
      <w:r w:rsidRPr="00F60C86">
        <w:rPr>
          <w:b/>
          <w:i/>
        </w:rPr>
        <w:t xml:space="preserve">Feedback Regarding </w:t>
      </w:r>
      <w:r w:rsidR="0032691F" w:rsidRPr="00F60C86">
        <w:rPr>
          <w:b/>
          <w:i/>
        </w:rPr>
        <w:t>Hip-Knee Complication (THA-TKA) Measure</w:t>
      </w:r>
    </w:p>
    <w:p w14:paraId="41C2AF48" w14:textId="3C735ECC" w:rsidR="000C5C0A" w:rsidRPr="00F60C86" w:rsidRDefault="008746E4" w:rsidP="000C5C0A">
      <w:pPr>
        <w:pStyle w:val="ListParagraph"/>
        <w:numPr>
          <w:ilvl w:val="0"/>
          <w:numId w:val="12"/>
        </w:numPr>
      </w:pPr>
      <w:r w:rsidRPr="00F60C86">
        <w:t>Consider expanding the existing THA-TKA measure to include payers other than Medicare FFS</w:t>
      </w:r>
      <w:r w:rsidR="00047D2E" w:rsidRPr="00F60C86">
        <w:t xml:space="preserve"> (CareFirst).</w:t>
      </w:r>
    </w:p>
    <w:p w14:paraId="24C75DA7" w14:textId="77777777" w:rsidR="000C5C0A" w:rsidRPr="00F60C86" w:rsidRDefault="000C5C0A" w:rsidP="000C5C0A">
      <w:pPr>
        <w:pStyle w:val="ListParagraph"/>
      </w:pPr>
    </w:p>
    <w:p w14:paraId="0F608F5C" w14:textId="62B51503" w:rsidR="00CF779E" w:rsidRDefault="004669BD" w:rsidP="000C5C0A">
      <w:pPr>
        <w:pStyle w:val="ListParagraph"/>
      </w:pPr>
      <w:r w:rsidRPr="00F60C86">
        <w:rPr>
          <w:b/>
        </w:rPr>
        <w:t>Staff Response:</w:t>
      </w:r>
      <w:r w:rsidRPr="00F60C86">
        <w:t xml:space="preserve"> </w:t>
      </w:r>
      <w:r w:rsidR="0018220E" w:rsidRPr="00F60C86">
        <w:t>Staff</w:t>
      </w:r>
      <w:r w:rsidR="000C5C0A" w:rsidRPr="00F60C86">
        <w:t xml:space="preserve"> acknowledges that, where possible, all-payer metrics are preferable over payer-specific metrics. </w:t>
      </w:r>
      <w:r w:rsidR="0032691F" w:rsidRPr="00F60C86">
        <w:t>However, s</w:t>
      </w:r>
      <w:r w:rsidR="000C5C0A" w:rsidRPr="00F60C86">
        <w:t>taff is not proposing any changes to the THA-TKA measure population for RY 2022, but will consider th</w:t>
      </w:r>
      <w:r w:rsidR="0032691F" w:rsidRPr="00F60C86">
        <w:t>is</w:t>
      </w:r>
      <w:r w:rsidR="000C5C0A" w:rsidRPr="00F60C86">
        <w:t xml:space="preserve"> suggestion </w:t>
      </w:r>
      <w:r w:rsidR="0032691F" w:rsidRPr="00F60C86">
        <w:t>in terms of</w:t>
      </w:r>
      <w:r w:rsidRPr="00F60C86">
        <w:t xml:space="preserve"> the</w:t>
      </w:r>
      <w:r w:rsidR="0032691F" w:rsidRPr="00F60C86">
        <w:t xml:space="preserve"> feasibility</w:t>
      </w:r>
      <w:r w:rsidRPr="00F60C86">
        <w:t>, validity</w:t>
      </w:r>
      <w:r w:rsidR="0018220E" w:rsidRPr="00F60C86">
        <w:t>,</w:t>
      </w:r>
      <w:r w:rsidRPr="00F60C86">
        <w:t xml:space="preserve"> and reliability </w:t>
      </w:r>
      <w:r w:rsidR="0032691F" w:rsidRPr="00F60C86">
        <w:t>of applying the CMS Medicare measure specifications to the all-payer population as</w:t>
      </w:r>
      <w:r w:rsidR="000C5C0A" w:rsidRPr="00F60C86">
        <w:t xml:space="preserve"> part of the QBR re-design in the coming year.</w:t>
      </w:r>
    </w:p>
    <w:p w14:paraId="0994E39A" w14:textId="77777777" w:rsidR="00CF779E" w:rsidRDefault="00CF779E">
      <w:r>
        <w:br w:type="page"/>
      </w:r>
    </w:p>
    <w:p w14:paraId="3DDDEC05" w14:textId="2C60EA6A" w:rsidR="00030A10" w:rsidRDefault="00E17B10" w:rsidP="00556411">
      <w:pPr>
        <w:pStyle w:val="Heading1"/>
      </w:pPr>
      <w:bookmarkStart w:id="31" w:name="_m0v43en94hk1" w:colFirst="0" w:colLast="0"/>
      <w:bookmarkStart w:id="32" w:name="_Toc26345148"/>
      <w:bookmarkEnd w:id="31"/>
      <w:r>
        <w:lastRenderedPageBreak/>
        <w:t xml:space="preserve">Final </w:t>
      </w:r>
      <w:r w:rsidR="007223C8">
        <w:t>Recommendations For RY 2022 QBR Program</w:t>
      </w:r>
      <w:bookmarkEnd w:id="32"/>
    </w:p>
    <w:p w14:paraId="0C754343" w14:textId="77777777" w:rsidR="00F60C86" w:rsidRDefault="00F60C86" w:rsidP="00F60C86">
      <w:pPr>
        <w:numPr>
          <w:ilvl w:val="0"/>
          <w:numId w:val="14"/>
        </w:numPr>
        <w:spacing w:before="0" w:after="0"/>
      </w:pPr>
      <w:bookmarkStart w:id="33" w:name="_btqvlw5jx7km" w:colFirst="0" w:colLast="0"/>
      <w:bookmarkEnd w:id="33"/>
      <w:r>
        <w:t xml:space="preserve">Implement the </w:t>
      </w:r>
      <w:r w:rsidRPr="007223C8">
        <w:t>following measure update</w:t>
      </w:r>
      <w:r>
        <w:t xml:space="preserve">s: </w:t>
      </w:r>
    </w:p>
    <w:p w14:paraId="09A21EEF" w14:textId="77777777" w:rsidR="00F60C86" w:rsidRPr="007223C8" w:rsidRDefault="00F60C86" w:rsidP="00F60C86">
      <w:pPr>
        <w:numPr>
          <w:ilvl w:val="1"/>
          <w:numId w:val="14"/>
        </w:numPr>
        <w:spacing w:before="0" w:after="0"/>
      </w:pPr>
      <w:r w:rsidRPr="007223C8">
        <w:t xml:space="preserve">Remove the ED-2b measure commensurate with its removal from the CMS </w:t>
      </w:r>
      <w:r>
        <w:t>Inpatient Quality Reporting (</w:t>
      </w:r>
      <w:r w:rsidRPr="007223C8">
        <w:t>IQR</w:t>
      </w:r>
      <w:r>
        <w:t>)</w:t>
      </w:r>
      <w:r w:rsidRPr="007223C8">
        <w:t xml:space="preserve"> program. </w:t>
      </w:r>
    </w:p>
    <w:p w14:paraId="2B897624" w14:textId="77777777" w:rsidR="00F60C86" w:rsidRPr="00F60C86" w:rsidRDefault="00F60C86" w:rsidP="00F60C86">
      <w:pPr>
        <w:numPr>
          <w:ilvl w:val="1"/>
          <w:numId w:val="14"/>
        </w:numPr>
        <w:spacing w:before="0" w:after="0"/>
      </w:pPr>
      <w:r w:rsidRPr="00F60C86">
        <w:t xml:space="preserve">Through the work of the QBR Redesign Sub Group, consider options for re-adopting ED Wait Time measures </w:t>
      </w:r>
      <w:r>
        <w:t>in</w:t>
      </w:r>
      <w:r w:rsidRPr="00F60C86">
        <w:t xml:space="preserve">to the program for </w:t>
      </w:r>
      <w:r>
        <w:t>t</w:t>
      </w:r>
      <w:r w:rsidRPr="00F60C86">
        <w:t>he RY 2023 policy and beyond.</w:t>
      </w:r>
    </w:p>
    <w:p w14:paraId="53860936" w14:textId="77777777" w:rsidR="00F60C86" w:rsidRPr="007223C8" w:rsidRDefault="00F60C86" w:rsidP="00F60C86">
      <w:pPr>
        <w:numPr>
          <w:ilvl w:val="0"/>
          <w:numId w:val="14"/>
        </w:numPr>
        <w:spacing w:before="0" w:after="0"/>
      </w:pPr>
      <w:r w:rsidRPr="007223C8">
        <w:t>Continue Domain Weighting as follows for determining hospitals’ overall performance scores:  Person and Community Engagement - 50 percent, Safety (NHSN measures) - 35 percent, Clinical Care - 15 percent.</w:t>
      </w:r>
    </w:p>
    <w:p w14:paraId="581C370E" w14:textId="77777777" w:rsidR="00F60C86" w:rsidRDefault="00F60C86" w:rsidP="00F60C86">
      <w:pPr>
        <w:numPr>
          <w:ilvl w:val="0"/>
          <w:numId w:val="14"/>
        </w:numPr>
        <w:spacing w:before="0" w:after="0" w:line="276" w:lineRule="auto"/>
      </w:pPr>
      <w:r w:rsidRPr="007223C8">
        <w:t>Maintain the pre-set scale (0</w:t>
      </w:r>
      <w:r>
        <w:t xml:space="preserve">-80 percent with cut-point at 41 percent), and continue to hold 2 percent of inpatient revenue at-risk (rewards and penalties) for the QBR program. </w:t>
      </w:r>
    </w:p>
    <w:p w14:paraId="4933DB4F" w14:textId="77777777" w:rsidR="009E10C0" w:rsidRDefault="009E10C0" w:rsidP="009E10C0">
      <w:pPr>
        <w:spacing w:before="0" w:after="0" w:line="276" w:lineRule="auto"/>
        <w:ind w:left="720"/>
      </w:pPr>
    </w:p>
    <w:p w14:paraId="3BE3F5B3" w14:textId="77777777" w:rsidR="00355A3E" w:rsidRPr="00355A3E" w:rsidRDefault="009E10C0" w:rsidP="00355A3E">
      <w:pPr>
        <w:pStyle w:val="Heading1"/>
      </w:pPr>
      <w:r>
        <w:tab/>
      </w:r>
      <w:r>
        <w:tab/>
      </w:r>
      <w:r w:rsidR="00556411" w:rsidRPr="009E10C0">
        <w:br w:type="page"/>
      </w:r>
      <w:bookmarkStart w:id="34" w:name="_k818mgbgulsk" w:colFirst="0" w:colLast="0"/>
      <w:bookmarkStart w:id="35" w:name="_Toc26345149"/>
      <w:bookmarkEnd w:id="34"/>
      <w:r w:rsidR="00556411" w:rsidRPr="00355A3E">
        <w:lastRenderedPageBreak/>
        <w:t>A</w:t>
      </w:r>
      <w:r w:rsidR="00355A3E" w:rsidRPr="00355A3E">
        <w:t>ppendix I. CMS Notification of Quality Program Exemptions, FFY 2020</w:t>
      </w:r>
      <w:bookmarkEnd w:id="35"/>
    </w:p>
    <w:p w14:paraId="0041EE40" w14:textId="3355A64D" w:rsidR="007D097E" w:rsidRDefault="004B3BD3" w:rsidP="00355A3E">
      <w:r w:rsidRPr="004B3BD3">
        <w:rPr>
          <w:noProof/>
          <w:vertAlign w:val="subscript"/>
        </w:rPr>
        <w:drawing>
          <wp:inline distT="0" distB="0" distL="0" distR="0" wp14:anchorId="7F5983CE" wp14:editId="3AF9661C">
            <wp:extent cx="6273800" cy="731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6707" cy="7322615"/>
                    </a:xfrm>
                    <a:prstGeom prst="rect">
                      <a:avLst/>
                    </a:prstGeom>
                    <a:noFill/>
                    <a:ln>
                      <a:noFill/>
                    </a:ln>
                  </pic:spPr>
                </pic:pic>
              </a:graphicData>
            </a:graphic>
          </wp:inline>
        </w:drawing>
      </w:r>
    </w:p>
    <w:p w14:paraId="7C5DBB1B" w14:textId="77777777" w:rsidR="001B1684" w:rsidRDefault="004B3BD3" w:rsidP="00355A3E">
      <w:r w:rsidRPr="004B3BD3">
        <w:rPr>
          <w:noProof/>
        </w:rPr>
        <w:lastRenderedPageBreak/>
        <w:drawing>
          <wp:inline distT="0" distB="0" distL="0" distR="0" wp14:anchorId="4143700C" wp14:editId="532E5CA4">
            <wp:extent cx="6254421" cy="778613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1003" cy="7794330"/>
                    </a:xfrm>
                    <a:prstGeom prst="rect">
                      <a:avLst/>
                    </a:prstGeom>
                    <a:noFill/>
                    <a:ln>
                      <a:noFill/>
                    </a:ln>
                  </pic:spPr>
                </pic:pic>
              </a:graphicData>
            </a:graphic>
          </wp:inline>
        </w:drawing>
      </w:r>
    </w:p>
    <w:p w14:paraId="32DFE671" w14:textId="77777777" w:rsidR="004B3BD3" w:rsidRDefault="007D097E" w:rsidP="00355A3E">
      <w:r>
        <w:br w:type="page"/>
      </w:r>
      <w:r w:rsidR="004B3BD3" w:rsidRPr="004B3BD3">
        <w:rPr>
          <w:noProof/>
        </w:rPr>
        <w:lastRenderedPageBreak/>
        <w:drawing>
          <wp:inline distT="0" distB="0" distL="0" distR="0" wp14:anchorId="34A4E914" wp14:editId="358E7484">
            <wp:extent cx="5943600" cy="2629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29460"/>
                    </a:xfrm>
                    <a:prstGeom prst="rect">
                      <a:avLst/>
                    </a:prstGeom>
                    <a:noFill/>
                    <a:ln>
                      <a:noFill/>
                    </a:ln>
                  </pic:spPr>
                </pic:pic>
              </a:graphicData>
            </a:graphic>
          </wp:inline>
        </w:drawing>
      </w:r>
    </w:p>
    <w:p w14:paraId="52985325" w14:textId="77777777" w:rsidR="004B3BD3" w:rsidRDefault="004B3BD3" w:rsidP="00355A3E">
      <w:r>
        <w:br w:type="page"/>
      </w:r>
    </w:p>
    <w:p w14:paraId="38BA80F8" w14:textId="6279FDC4" w:rsidR="00030A10" w:rsidRDefault="00556411">
      <w:pPr>
        <w:pStyle w:val="Heading1"/>
      </w:pPr>
      <w:bookmarkStart w:id="36" w:name="_Toc26345150"/>
      <w:r>
        <w:lastRenderedPageBreak/>
        <w:t>A</w:t>
      </w:r>
      <w:r w:rsidR="00355A3E">
        <w:t>ppendix II. HSCRC QBR Program Background, Detailed Overview</w:t>
      </w:r>
      <w:bookmarkEnd w:id="36"/>
      <w:r>
        <w:t xml:space="preserve"> </w:t>
      </w:r>
    </w:p>
    <w:p w14:paraId="65F26B5B" w14:textId="77777777" w:rsidR="00030A10" w:rsidRDefault="00556411">
      <w:pPr>
        <w:pBdr>
          <w:top w:val="nil"/>
          <w:left w:val="nil"/>
          <w:bottom w:val="nil"/>
          <w:right w:val="nil"/>
          <w:between w:val="nil"/>
        </w:pBdr>
        <w:rPr>
          <w:color w:val="000000"/>
        </w:rPr>
      </w:pPr>
      <w:r>
        <w:rPr>
          <w:color w:val="000000"/>
        </w:rPr>
        <w:t>The Affordable Care Act established the hospital Medicare Value-Based Purchasing (VBP) program,</w:t>
      </w:r>
      <w:r>
        <w:rPr>
          <w:color w:val="000000"/>
          <w:vertAlign w:val="superscript"/>
        </w:rPr>
        <w:footnoteReference w:id="12"/>
      </w:r>
      <w:r>
        <w:rPr>
          <w:color w:val="000000"/>
        </w:rPr>
        <w:t xml:space="preserve"> which requires CMS to reward hospitals with incentive payments for the quality of care provided to Medicare beneficiaries. The program assesses hospital performance on a set of measures in Clinical Care, Person and Community Engagement, Safety, and Efficiency domains. The incentive payments are funded by reducing the base operating diagnosis-related group (DRG) amounts that determine the Medicare payment for each hospital inpatient discharge.</w:t>
      </w:r>
      <w:r>
        <w:rPr>
          <w:color w:val="000000"/>
          <w:vertAlign w:val="superscript"/>
        </w:rPr>
        <w:footnoteReference w:id="13"/>
      </w:r>
      <w:r>
        <w:rPr>
          <w:color w:val="000000"/>
        </w:rPr>
        <w:t xml:space="preserve"> The Affordable Care Act set the maximum penalty and reward at 2</w:t>
      </w:r>
      <w:r>
        <w:t xml:space="preserve"> percent</w:t>
      </w:r>
      <w:r>
        <w:rPr>
          <w:color w:val="000000"/>
        </w:rPr>
        <w:t xml:space="preserve"> for federal fiscal year (FFY) 2017 and beyond.</w:t>
      </w:r>
      <w:r>
        <w:rPr>
          <w:color w:val="000000"/>
          <w:vertAlign w:val="superscript"/>
        </w:rPr>
        <w:footnoteReference w:id="14"/>
      </w:r>
      <w:r>
        <w:rPr>
          <w:color w:val="000000"/>
        </w:rPr>
        <w:t xml:space="preserve">  </w:t>
      </w:r>
    </w:p>
    <w:p w14:paraId="200D63EB" w14:textId="77777777" w:rsidR="00030A10" w:rsidRDefault="00556411">
      <w:pPr>
        <w:pBdr>
          <w:top w:val="nil"/>
          <w:left w:val="nil"/>
          <w:bottom w:val="nil"/>
          <w:right w:val="nil"/>
          <w:between w:val="nil"/>
        </w:pBdr>
        <w:rPr>
          <w:color w:val="000000"/>
        </w:rPr>
      </w:pPr>
      <w:r>
        <w:rPr>
          <w:color w:val="000000"/>
        </w:rPr>
        <w:t>Maryland’s Quality-Based Reimbursement (QBR) program, in place since July 2009, employs measures that are similar to those in the federal Medicare VBP program, under which all other states have operated since October 2012.  Similar to the VBP program, the QBR program currently measures performance in Clinical Care, Safety, and Person and Community Engagement domains, which comprise 15</w:t>
      </w:r>
      <w:r>
        <w:t xml:space="preserve"> percent</w:t>
      </w:r>
      <w:r>
        <w:rPr>
          <w:color w:val="000000"/>
        </w:rPr>
        <w:t>, 35</w:t>
      </w:r>
      <w:r>
        <w:t xml:space="preserve"> percent</w:t>
      </w:r>
      <w:r>
        <w:rPr>
          <w:color w:val="000000"/>
        </w:rPr>
        <w:t>, and 50</w:t>
      </w:r>
      <w:r>
        <w:t xml:space="preserve"> percent</w:t>
      </w:r>
      <w:r>
        <w:rPr>
          <w:color w:val="000000"/>
        </w:rPr>
        <w:t xml:space="preserve"> of a hospital’s total QBR score, respectively.  For the Safety and Person and Community Engagement domains, which constitute the largest share of a hospital’s overall QBR score (85</w:t>
      </w:r>
      <w:r>
        <w:t xml:space="preserve"> percent</w:t>
      </w:r>
      <w:r>
        <w:rPr>
          <w:color w:val="000000"/>
        </w:rPr>
        <w:t>), performance standards are the same as those established in the national VBP program. The Clinical Care Domain, in contrast, uses a Maryland-specific mortality measure and benchmarks.  In effect, Maryland’s QBR program, despite not having a prescribed national goal, reflects Maryland’s rankings relative to the nation by using national VBP benchmarks for the majority of the overall QBR score.</w:t>
      </w:r>
    </w:p>
    <w:p w14:paraId="3CBEEA64" w14:textId="77777777" w:rsidR="00030A10" w:rsidRDefault="00556411">
      <w:pPr>
        <w:pBdr>
          <w:top w:val="nil"/>
          <w:left w:val="nil"/>
          <w:bottom w:val="nil"/>
          <w:right w:val="nil"/>
          <w:between w:val="nil"/>
        </w:pBdr>
        <w:rPr>
          <w:color w:val="000000"/>
        </w:rPr>
      </w:pPr>
      <w:r>
        <w:rPr>
          <w:color w:val="000000"/>
        </w:rPr>
        <w:t xml:space="preserve">In addition to structuring two of the three domains of the QBR program to correspond to the federal VBP program, the Commission has increasingly emphasized performance relative to the nation through benchmarking, domain weighting, and scaling decisions. For example, beginning in RY 2015, the QBR program began utilizing national benchmarks to assess performance for the Person and Community Engagement and Safety domains.   Subsequently, the RY 2017 QBR policy increased the weighting of the Person and Community Engagement domain, which </w:t>
      </w:r>
      <w:r>
        <w:t>was</w:t>
      </w:r>
      <w:r>
        <w:rPr>
          <w:color w:val="000000"/>
        </w:rPr>
        <w:t xml:space="preserve"> measured by the national Hospital Consumer Assessment of Healthcare Providers and Systems (HCAHPS) survey instrument to 50</w:t>
      </w:r>
      <w:r>
        <w:t xml:space="preserve"> percent.  </w:t>
      </w:r>
      <w:r>
        <w:rPr>
          <w:color w:val="000000"/>
        </w:rPr>
        <w:t>The weighting was increased in order to raise incentives for HCAHPS improvement, as Maryland has consistently scored in the lowest decile nationally on these measures. I</w:t>
      </w:r>
      <w:r>
        <w:t>n RY 2020, ED-1b, and ED-2b wait time measures for admitted patients were added to this domain with the domain weight remaining at 50 percent; in RY 2021, the domain weight remained constant but the ED-1b measure was removed from the program.</w:t>
      </w:r>
    </w:p>
    <w:p w14:paraId="0332C4C4" w14:textId="77777777" w:rsidR="00030A10" w:rsidRDefault="00556411">
      <w:pPr>
        <w:pBdr>
          <w:top w:val="nil"/>
          <w:left w:val="nil"/>
          <w:bottom w:val="nil"/>
          <w:right w:val="nil"/>
          <w:between w:val="nil"/>
        </w:pBdr>
        <w:spacing w:before="0" w:after="0"/>
        <w:rPr>
          <w:color w:val="000000"/>
        </w:rPr>
      </w:pPr>
      <w:r>
        <w:rPr>
          <w:color w:val="000000"/>
        </w:rPr>
        <w:t>While the QBR program has many similarities to the federal Medicare VBP program, it does differ because Maryland’s unique Model Agreements and autonomous position allow the State to be innova</w:t>
      </w:r>
      <w:r w:rsidR="00FA587C">
        <w:rPr>
          <w:color w:val="000000"/>
        </w:rPr>
        <w:t>tive and progressive.  Figure 12</w:t>
      </w:r>
      <w:r>
        <w:rPr>
          <w:color w:val="000000"/>
        </w:rPr>
        <w:t xml:space="preserve"> below compares the RY 202</w:t>
      </w:r>
      <w:r>
        <w:t>1</w:t>
      </w:r>
      <w:r>
        <w:rPr>
          <w:color w:val="000000"/>
        </w:rPr>
        <w:t xml:space="preserve"> QBR measures and domain weights to those used in the CMS VBP program.</w:t>
      </w:r>
    </w:p>
    <w:p w14:paraId="4DB33CCA" w14:textId="77777777" w:rsidR="00030A10" w:rsidRDefault="00030A10">
      <w:pPr>
        <w:pBdr>
          <w:top w:val="nil"/>
          <w:left w:val="nil"/>
          <w:bottom w:val="nil"/>
          <w:right w:val="nil"/>
          <w:between w:val="nil"/>
        </w:pBdr>
        <w:spacing w:before="0" w:after="0"/>
        <w:rPr>
          <w:color w:val="000000"/>
        </w:rPr>
      </w:pPr>
    </w:p>
    <w:p w14:paraId="702FE3F4" w14:textId="77777777" w:rsidR="00030A10" w:rsidRDefault="00556411">
      <w:pPr>
        <w:keepNext/>
        <w:pBdr>
          <w:top w:val="nil"/>
          <w:left w:val="nil"/>
          <w:bottom w:val="nil"/>
          <w:right w:val="nil"/>
          <w:between w:val="nil"/>
        </w:pBdr>
        <w:spacing w:before="0" w:after="0"/>
        <w:jc w:val="center"/>
        <w:rPr>
          <w:rFonts w:ascii="Calibri" w:eastAsia="Calibri" w:hAnsi="Calibri" w:cs="Calibri"/>
          <w:b/>
          <w:color w:val="4F81BD"/>
        </w:rPr>
      </w:pPr>
      <w:r>
        <w:rPr>
          <w:rFonts w:ascii="Calibri" w:eastAsia="Calibri" w:hAnsi="Calibri" w:cs="Calibri"/>
          <w:b/>
          <w:color w:val="4F81BD"/>
        </w:rPr>
        <w:t>Figure 1</w:t>
      </w:r>
      <w:r w:rsidR="00FA587C">
        <w:rPr>
          <w:rFonts w:ascii="Calibri" w:eastAsia="Calibri" w:hAnsi="Calibri" w:cs="Calibri"/>
          <w:b/>
          <w:color w:val="4F81BD"/>
        </w:rPr>
        <w:t>2</w:t>
      </w:r>
      <w:r>
        <w:rPr>
          <w:rFonts w:ascii="Calibri" w:eastAsia="Calibri" w:hAnsi="Calibri" w:cs="Calibri"/>
          <w:b/>
          <w:color w:val="4F81BD"/>
        </w:rPr>
        <w:t>. RY 2021 QBR Measures and Domain Weights Compared with CMS VBP Program</w:t>
      </w:r>
      <w:r>
        <w:rPr>
          <w:vertAlign w:val="superscript"/>
        </w:rPr>
        <w:footnoteReference w:id="15"/>
      </w:r>
      <w:r>
        <w:rPr>
          <w:rFonts w:ascii="Calibri" w:eastAsia="Calibri" w:hAnsi="Calibri" w:cs="Calibri"/>
          <w:b/>
          <w:color w:val="4F81BD"/>
        </w:rPr>
        <w:t xml:space="preserve">  </w:t>
      </w:r>
    </w:p>
    <w:tbl>
      <w:tblPr>
        <w:tblStyle w:val="a1"/>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3060"/>
        <w:gridCol w:w="3420"/>
      </w:tblGrid>
      <w:tr w:rsidR="00030A10" w14:paraId="4C4CBA8F" w14:textId="77777777">
        <w:trPr>
          <w:trHeight w:val="440"/>
          <w:jc w:val="center"/>
        </w:trPr>
        <w:tc>
          <w:tcPr>
            <w:tcW w:w="2520" w:type="dxa"/>
            <w:shd w:val="clear" w:color="auto" w:fill="BDD7EB"/>
          </w:tcPr>
          <w:p w14:paraId="7848FEEC" w14:textId="77777777" w:rsidR="00030A10" w:rsidRDefault="00030A10">
            <w:pPr>
              <w:spacing w:before="0" w:after="0"/>
              <w:rPr>
                <w:rFonts w:ascii="Calibri" w:eastAsia="Calibri" w:hAnsi="Calibri" w:cs="Calibri"/>
                <w:sz w:val="22"/>
                <w:szCs w:val="22"/>
              </w:rPr>
            </w:pPr>
          </w:p>
        </w:tc>
        <w:tc>
          <w:tcPr>
            <w:tcW w:w="3060" w:type="dxa"/>
            <w:shd w:val="clear" w:color="auto" w:fill="BDD7EB"/>
          </w:tcPr>
          <w:p w14:paraId="2368AA88" w14:textId="77777777" w:rsidR="00030A10" w:rsidRDefault="00556411">
            <w:pPr>
              <w:spacing w:before="0" w:after="0"/>
              <w:jc w:val="center"/>
              <w:rPr>
                <w:rFonts w:ascii="Calibri" w:eastAsia="Calibri" w:hAnsi="Calibri" w:cs="Calibri"/>
                <w:sz w:val="22"/>
                <w:szCs w:val="22"/>
              </w:rPr>
            </w:pPr>
            <w:r>
              <w:rPr>
                <w:rFonts w:ascii="Calibri" w:eastAsia="Calibri" w:hAnsi="Calibri" w:cs="Calibri"/>
                <w:b/>
                <w:sz w:val="22"/>
                <w:szCs w:val="22"/>
              </w:rPr>
              <w:t>Maryland QBR Domains and Measures</w:t>
            </w:r>
          </w:p>
        </w:tc>
        <w:tc>
          <w:tcPr>
            <w:tcW w:w="3420" w:type="dxa"/>
            <w:shd w:val="clear" w:color="auto" w:fill="BDD7EB"/>
          </w:tcPr>
          <w:p w14:paraId="0162F48F" w14:textId="77777777" w:rsidR="00030A10" w:rsidRDefault="00556411">
            <w:pPr>
              <w:spacing w:before="0" w:after="0"/>
              <w:jc w:val="center"/>
              <w:rPr>
                <w:rFonts w:ascii="Calibri" w:eastAsia="Calibri" w:hAnsi="Calibri" w:cs="Calibri"/>
                <w:sz w:val="22"/>
                <w:szCs w:val="22"/>
              </w:rPr>
            </w:pPr>
            <w:r>
              <w:rPr>
                <w:rFonts w:ascii="Calibri" w:eastAsia="Calibri" w:hAnsi="Calibri" w:cs="Calibri"/>
                <w:b/>
                <w:sz w:val="22"/>
                <w:szCs w:val="22"/>
              </w:rPr>
              <w:t>CMS VBP Domain Weights and Measure Differences</w:t>
            </w:r>
          </w:p>
        </w:tc>
      </w:tr>
      <w:tr w:rsidR="00030A10" w14:paraId="2CBBC0F4" w14:textId="77777777">
        <w:trPr>
          <w:trHeight w:val="660"/>
          <w:jc w:val="center"/>
        </w:trPr>
        <w:tc>
          <w:tcPr>
            <w:tcW w:w="2520" w:type="dxa"/>
          </w:tcPr>
          <w:p w14:paraId="369DEB06" w14:textId="77777777" w:rsidR="00030A10" w:rsidRDefault="00556411">
            <w:pPr>
              <w:spacing w:before="0" w:after="0"/>
              <w:rPr>
                <w:rFonts w:ascii="Calibri" w:eastAsia="Calibri" w:hAnsi="Calibri" w:cs="Calibri"/>
                <w:sz w:val="22"/>
                <w:szCs w:val="22"/>
              </w:rPr>
            </w:pPr>
            <w:r>
              <w:rPr>
                <w:rFonts w:ascii="Calibri" w:eastAsia="Calibri" w:hAnsi="Calibri" w:cs="Calibri"/>
                <w:b/>
                <w:sz w:val="22"/>
                <w:szCs w:val="22"/>
              </w:rPr>
              <w:t xml:space="preserve">Clinical Care </w:t>
            </w:r>
          </w:p>
        </w:tc>
        <w:tc>
          <w:tcPr>
            <w:tcW w:w="3060" w:type="dxa"/>
          </w:tcPr>
          <w:p w14:paraId="634E19C6" w14:textId="77777777" w:rsidR="00030A10" w:rsidRDefault="00556411">
            <w:pPr>
              <w:spacing w:before="0" w:after="0"/>
              <w:ind w:left="-25"/>
              <w:rPr>
                <w:rFonts w:ascii="Calibri" w:eastAsia="Calibri" w:hAnsi="Calibri" w:cs="Calibri"/>
                <w:sz w:val="22"/>
                <w:szCs w:val="22"/>
              </w:rPr>
            </w:pPr>
            <w:r>
              <w:rPr>
                <w:rFonts w:ascii="Calibri" w:eastAsia="Calibri" w:hAnsi="Calibri" w:cs="Calibri"/>
                <w:sz w:val="22"/>
                <w:szCs w:val="22"/>
              </w:rPr>
              <w:t xml:space="preserve">15 percent </w:t>
            </w:r>
          </w:p>
          <w:p w14:paraId="463F9D8A"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(2 measures: all cause inpatient Mortality; THA/TKA Complication)</w:t>
            </w:r>
          </w:p>
        </w:tc>
        <w:tc>
          <w:tcPr>
            <w:tcW w:w="3420" w:type="dxa"/>
          </w:tcPr>
          <w:p w14:paraId="118BA475" w14:textId="77777777" w:rsidR="00030A10" w:rsidRDefault="00556411">
            <w:pPr>
              <w:spacing w:before="0" w:after="0"/>
              <w:ind w:left="-25"/>
              <w:rPr>
                <w:rFonts w:ascii="Calibri" w:eastAsia="Calibri" w:hAnsi="Calibri" w:cs="Calibri"/>
                <w:sz w:val="22"/>
                <w:szCs w:val="22"/>
              </w:rPr>
            </w:pPr>
            <w:r>
              <w:rPr>
                <w:rFonts w:ascii="Calibri" w:eastAsia="Calibri" w:hAnsi="Calibri" w:cs="Calibri"/>
                <w:sz w:val="22"/>
                <w:szCs w:val="22"/>
              </w:rPr>
              <w:t xml:space="preserve">25 percent </w:t>
            </w:r>
          </w:p>
          <w:p w14:paraId="3530D081" w14:textId="33107D5A" w:rsidR="00030A10" w:rsidRDefault="005F72FD">
            <w:pPr>
              <w:spacing w:before="0" w:after="0"/>
              <w:rPr>
                <w:rFonts w:ascii="Calibri" w:eastAsia="Calibri" w:hAnsi="Calibri" w:cs="Calibri"/>
                <w:sz w:val="22"/>
                <w:szCs w:val="22"/>
              </w:rPr>
            </w:pPr>
            <w:r>
              <w:rPr>
                <w:rFonts w:ascii="Calibri" w:eastAsia="Calibri" w:hAnsi="Calibri" w:cs="Calibri"/>
                <w:sz w:val="22"/>
                <w:szCs w:val="22"/>
              </w:rPr>
              <w:t xml:space="preserve">(5 </w:t>
            </w:r>
            <w:r w:rsidR="00556411">
              <w:rPr>
                <w:rFonts w:ascii="Calibri" w:eastAsia="Calibri" w:hAnsi="Calibri" w:cs="Calibri"/>
                <w:sz w:val="22"/>
                <w:szCs w:val="22"/>
              </w:rPr>
              <w:t xml:space="preserve">measures: </w:t>
            </w:r>
            <w:r>
              <w:rPr>
                <w:rFonts w:ascii="Calibri" w:eastAsia="Calibri" w:hAnsi="Calibri" w:cs="Calibri"/>
                <w:sz w:val="22"/>
                <w:szCs w:val="22"/>
              </w:rPr>
              <w:t xml:space="preserve">4 </w:t>
            </w:r>
            <w:r w:rsidR="00556411">
              <w:rPr>
                <w:rFonts w:ascii="Calibri" w:eastAsia="Calibri" w:hAnsi="Calibri" w:cs="Calibri"/>
                <w:sz w:val="22"/>
                <w:szCs w:val="22"/>
              </w:rPr>
              <w:t>condition-specific Mortality, THA/TKA Complication)</w:t>
            </w:r>
          </w:p>
        </w:tc>
      </w:tr>
      <w:tr w:rsidR="00030A10" w14:paraId="6F06A1F0" w14:textId="77777777">
        <w:trPr>
          <w:trHeight w:val="500"/>
          <w:jc w:val="center"/>
        </w:trPr>
        <w:tc>
          <w:tcPr>
            <w:tcW w:w="2520" w:type="dxa"/>
          </w:tcPr>
          <w:p w14:paraId="39E60D2F" w14:textId="77777777" w:rsidR="00030A10" w:rsidRDefault="00556411">
            <w:pPr>
              <w:pBdr>
                <w:top w:val="nil"/>
                <w:left w:val="nil"/>
                <w:bottom w:val="nil"/>
                <w:right w:val="nil"/>
                <w:between w:val="nil"/>
              </w:pBdr>
              <w:spacing w:before="60" w:after="60"/>
              <w:rPr>
                <w:color w:val="000000"/>
              </w:rPr>
            </w:pPr>
            <w:r>
              <w:rPr>
                <w:rFonts w:ascii="Calibri" w:eastAsia="Calibri" w:hAnsi="Calibri" w:cs="Calibri"/>
                <w:b/>
                <w:color w:val="000000"/>
                <w:sz w:val="22"/>
                <w:szCs w:val="22"/>
              </w:rPr>
              <w:t>Person and Community Engagement</w:t>
            </w:r>
          </w:p>
        </w:tc>
        <w:tc>
          <w:tcPr>
            <w:tcW w:w="3060" w:type="dxa"/>
          </w:tcPr>
          <w:p w14:paraId="499494EC"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50 percent </w:t>
            </w:r>
          </w:p>
          <w:p w14:paraId="6421FB32" w14:textId="77777777" w:rsidR="00030A10" w:rsidRDefault="00556411">
            <w:pPr>
              <w:tabs>
                <w:tab w:val="left" w:pos="0"/>
              </w:tabs>
              <w:spacing w:before="0" w:after="0"/>
              <w:rPr>
                <w:rFonts w:ascii="Calibri" w:eastAsia="Calibri" w:hAnsi="Calibri" w:cs="Calibri"/>
                <w:sz w:val="22"/>
                <w:szCs w:val="22"/>
              </w:rPr>
            </w:pPr>
            <w:r>
              <w:rPr>
                <w:rFonts w:ascii="Calibri" w:eastAsia="Calibri" w:hAnsi="Calibri" w:cs="Calibri"/>
                <w:sz w:val="22"/>
                <w:szCs w:val="22"/>
              </w:rPr>
              <w:t>(8 HCAHPS measures,</w:t>
            </w:r>
          </w:p>
          <w:p w14:paraId="06AEA8BA" w14:textId="77777777" w:rsidR="00030A10" w:rsidRDefault="00556411">
            <w:pPr>
              <w:tabs>
                <w:tab w:val="left" w:pos="0"/>
              </w:tabs>
              <w:spacing w:before="0" w:after="0"/>
              <w:rPr>
                <w:rFonts w:ascii="Calibri" w:eastAsia="Calibri" w:hAnsi="Calibri" w:cs="Calibri"/>
                <w:sz w:val="22"/>
                <w:szCs w:val="22"/>
              </w:rPr>
            </w:pPr>
            <w:r>
              <w:rPr>
                <w:rFonts w:ascii="Calibri" w:eastAsia="Calibri" w:hAnsi="Calibri" w:cs="Calibri"/>
                <w:sz w:val="22"/>
                <w:szCs w:val="22"/>
              </w:rPr>
              <w:t xml:space="preserve">ED-2b wait time measure) </w:t>
            </w:r>
          </w:p>
        </w:tc>
        <w:tc>
          <w:tcPr>
            <w:tcW w:w="3420" w:type="dxa"/>
          </w:tcPr>
          <w:p w14:paraId="758B88D6"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25 percent </w:t>
            </w:r>
          </w:p>
          <w:p w14:paraId="050D6C76" w14:textId="47A5F95B"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Same HCAHPS measures, no </w:t>
            </w:r>
            <w:r w:rsidR="00E17B10">
              <w:rPr>
                <w:rFonts w:ascii="Calibri" w:eastAsia="Calibri" w:hAnsi="Calibri" w:cs="Calibri"/>
                <w:sz w:val="22"/>
                <w:szCs w:val="22"/>
              </w:rPr>
              <w:t>ED Wait Time</w:t>
            </w:r>
            <w:r>
              <w:rPr>
                <w:rFonts w:ascii="Calibri" w:eastAsia="Calibri" w:hAnsi="Calibri" w:cs="Calibri"/>
                <w:sz w:val="22"/>
                <w:szCs w:val="22"/>
              </w:rPr>
              <w:t xml:space="preserve"> measures</w:t>
            </w:r>
          </w:p>
        </w:tc>
      </w:tr>
      <w:tr w:rsidR="00030A10" w14:paraId="5A934EF4" w14:textId="77777777">
        <w:trPr>
          <w:trHeight w:val="560"/>
          <w:jc w:val="center"/>
        </w:trPr>
        <w:tc>
          <w:tcPr>
            <w:tcW w:w="2520" w:type="dxa"/>
          </w:tcPr>
          <w:p w14:paraId="6C7F616E" w14:textId="77777777" w:rsidR="00030A10" w:rsidRDefault="00556411">
            <w:pPr>
              <w:spacing w:before="0" w:after="0"/>
              <w:rPr>
                <w:rFonts w:ascii="Calibri" w:eastAsia="Calibri" w:hAnsi="Calibri" w:cs="Calibri"/>
                <w:sz w:val="22"/>
                <w:szCs w:val="22"/>
              </w:rPr>
            </w:pPr>
            <w:r>
              <w:rPr>
                <w:rFonts w:ascii="Calibri" w:eastAsia="Calibri" w:hAnsi="Calibri" w:cs="Calibri"/>
                <w:b/>
                <w:sz w:val="22"/>
                <w:szCs w:val="22"/>
              </w:rPr>
              <w:t>Safety</w:t>
            </w:r>
          </w:p>
        </w:tc>
        <w:tc>
          <w:tcPr>
            <w:tcW w:w="3060" w:type="dxa"/>
          </w:tcPr>
          <w:p w14:paraId="6DC9B2DE"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35 percent </w:t>
            </w:r>
          </w:p>
          <w:p w14:paraId="6DDFDCDE"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(5 measures: CDC NHSN)*</w:t>
            </w:r>
          </w:p>
        </w:tc>
        <w:tc>
          <w:tcPr>
            <w:tcW w:w="3420" w:type="dxa"/>
          </w:tcPr>
          <w:p w14:paraId="402911FB"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25 percent </w:t>
            </w:r>
          </w:p>
          <w:p w14:paraId="02A3A23A"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(5 measures: CDC NHSN)*  </w:t>
            </w:r>
          </w:p>
        </w:tc>
      </w:tr>
      <w:tr w:rsidR="00030A10" w14:paraId="723DED3C" w14:textId="77777777">
        <w:trPr>
          <w:trHeight w:val="480"/>
          <w:jc w:val="center"/>
        </w:trPr>
        <w:tc>
          <w:tcPr>
            <w:tcW w:w="2520" w:type="dxa"/>
          </w:tcPr>
          <w:p w14:paraId="6048D636" w14:textId="77777777" w:rsidR="00030A10" w:rsidRDefault="00556411">
            <w:pPr>
              <w:spacing w:before="0" w:after="0"/>
              <w:rPr>
                <w:rFonts w:ascii="Calibri" w:eastAsia="Calibri" w:hAnsi="Calibri" w:cs="Calibri"/>
                <w:sz w:val="22"/>
                <w:szCs w:val="22"/>
              </w:rPr>
            </w:pPr>
            <w:r>
              <w:rPr>
                <w:rFonts w:ascii="Calibri" w:eastAsia="Calibri" w:hAnsi="Calibri" w:cs="Calibri"/>
                <w:b/>
                <w:sz w:val="22"/>
                <w:szCs w:val="22"/>
              </w:rPr>
              <w:t>Efficiency</w:t>
            </w:r>
          </w:p>
        </w:tc>
        <w:tc>
          <w:tcPr>
            <w:tcW w:w="3060" w:type="dxa"/>
          </w:tcPr>
          <w:p w14:paraId="654EB1DA"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N/A</w:t>
            </w:r>
          </w:p>
        </w:tc>
        <w:tc>
          <w:tcPr>
            <w:tcW w:w="3420" w:type="dxa"/>
          </w:tcPr>
          <w:p w14:paraId="1709E90A" w14:textId="77777777" w:rsidR="00030A10" w:rsidRDefault="00556411">
            <w:pPr>
              <w:spacing w:before="0" w:after="0"/>
              <w:rPr>
                <w:rFonts w:ascii="Calibri" w:eastAsia="Calibri" w:hAnsi="Calibri" w:cs="Calibri"/>
                <w:sz w:val="22"/>
                <w:szCs w:val="22"/>
              </w:rPr>
            </w:pPr>
            <w:r>
              <w:rPr>
                <w:rFonts w:ascii="Calibri" w:eastAsia="Calibri" w:hAnsi="Calibri" w:cs="Calibri"/>
                <w:sz w:val="22"/>
                <w:szCs w:val="22"/>
              </w:rPr>
              <w:t xml:space="preserve">25 percent (Medicare Spending Per Beneficiary measure) </w:t>
            </w:r>
          </w:p>
        </w:tc>
      </w:tr>
    </w:tbl>
    <w:p w14:paraId="4CC31760" w14:textId="77777777" w:rsidR="00030A10" w:rsidRDefault="00556411">
      <w:pPr>
        <w:pBdr>
          <w:top w:val="nil"/>
          <w:left w:val="nil"/>
          <w:bottom w:val="nil"/>
          <w:right w:val="nil"/>
          <w:between w:val="nil"/>
        </w:pBdr>
        <w:rPr>
          <w:sz w:val="20"/>
          <w:szCs w:val="20"/>
        </w:rPr>
      </w:pPr>
      <w:r>
        <w:t>*</w:t>
      </w:r>
      <w:r>
        <w:rPr>
          <w:sz w:val="20"/>
          <w:szCs w:val="20"/>
        </w:rPr>
        <w:t>While there are six Healthcare Associated Infection categories, the two SSI colon and hysterectomy categories are combined resulting in five Safety domain measures.</w:t>
      </w:r>
    </w:p>
    <w:p w14:paraId="73648C06" w14:textId="77777777" w:rsidR="00030A10" w:rsidRDefault="00556411">
      <w:pPr>
        <w:pBdr>
          <w:top w:val="nil"/>
          <w:left w:val="nil"/>
          <w:bottom w:val="nil"/>
          <w:right w:val="nil"/>
          <w:between w:val="nil"/>
        </w:pBdr>
      </w:pPr>
      <w:r>
        <w:rPr>
          <w:color w:val="000000"/>
        </w:rPr>
        <w:t>The methodology for calculating hospital QBR scores and associated inpatient revenue adjustments has remained essentially unchanged since RY 2019, and involves: 1) assessing performance on each measure in the domain; 2) standardizing measure scores relative to performance standards; 3) calculating the total points a hospital earned divided by the total possible points for each domain; 4) finalizing the total hospital QBR score (0-100</w:t>
      </w:r>
      <w:r>
        <w:t xml:space="preserve"> percent</w:t>
      </w:r>
      <w:r>
        <w:rPr>
          <w:color w:val="000000"/>
        </w:rPr>
        <w:t>) by weighting the domains based on the overall percentage or importance the Commission has placed on each domain; and 5) converting the total hospital QBR scores into revenue adjustments using the preset scale that ranges from 0 to 80</w:t>
      </w:r>
      <w:r>
        <w:t xml:space="preserve"> percent.</w:t>
      </w:r>
    </w:p>
    <w:p w14:paraId="735CAD53" w14:textId="77777777" w:rsidR="00030A10" w:rsidRDefault="00556411">
      <w:pPr>
        <w:pStyle w:val="Heading2"/>
      </w:pPr>
      <w:bookmarkStart w:id="37" w:name="_Toc26345151"/>
      <w:r>
        <w:t>Domain Weights and Revenue At-Risk</w:t>
      </w:r>
      <w:bookmarkEnd w:id="37"/>
    </w:p>
    <w:p w14:paraId="45723FC4" w14:textId="77777777" w:rsidR="00030A10" w:rsidRDefault="00556411">
      <w:pPr>
        <w:pBdr>
          <w:top w:val="nil"/>
          <w:left w:val="nil"/>
          <w:bottom w:val="nil"/>
          <w:right w:val="nil"/>
          <w:between w:val="nil"/>
        </w:pBdr>
      </w:pPr>
      <w:r>
        <w:rPr>
          <w:color w:val="000000"/>
        </w:rPr>
        <w:t>As illustrated in the body of the report, for the RY 2021 QBR program, the</w:t>
      </w:r>
      <w:r>
        <w:t xml:space="preserve"> policy </w:t>
      </w:r>
      <w:r>
        <w:rPr>
          <w:color w:val="000000"/>
        </w:rPr>
        <w:t xml:space="preserve">weighted the clinical care domain at 15 </w:t>
      </w:r>
      <w:r>
        <w:t>percent</w:t>
      </w:r>
      <w:r>
        <w:rPr>
          <w:color w:val="000000"/>
        </w:rPr>
        <w:t xml:space="preserve"> of the final score, the Safety domain at 35</w:t>
      </w:r>
      <w:r>
        <w:t xml:space="preserve"> percent</w:t>
      </w:r>
      <w:r>
        <w:rPr>
          <w:color w:val="000000"/>
        </w:rPr>
        <w:t>, and the Person and Community Engagement domain at 50</w:t>
      </w:r>
      <w:r>
        <w:t xml:space="preserve"> percent</w:t>
      </w:r>
      <w:r>
        <w:rPr>
          <w:color w:val="000000"/>
        </w:rPr>
        <w:t xml:space="preserve">. </w:t>
      </w:r>
    </w:p>
    <w:p w14:paraId="4B050A5C" w14:textId="77777777" w:rsidR="00030A10" w:rsidRDefault="00556411">
      <w:pPr>
        <w:pBdr>
          <w:top w:val="nil"/>
          <w:left w:val="nil"/>
          <w:bottom w:val="nil"/>
          <w:right w:val="nil"/>
          <w:between w:val="nil"/>
        </w:pBdr>
        <w:rPr>
          <w:color w:val="000000"/>
        </w:rPr>
      </w:pPr>
      <w:r>
        <w:rPr>
          <w:color w:val="000000"/>
        </w:rPr>
        <w:t>The HSCRC sets aside a percentage of hospital inpatient revenue to be held “at</w:t>
      </w:r>
      <w:r>
        <w:t>-</w:t>
      </w:r>
      <w:r>
        <w:rPr>
          <w:color w:val="000000"/>
        </w:rPr>
        <w:t>risk” based on each hospital’s QBR program performance. Hospital performance scores are translated into rewards and penalties in a process that is referred to as scaling.</w:t>
      </w:r>
      <w:r>
        <w:rPr>
          <w:rFonts w:ascii="Calibri" w:eastAsia="Calibri" w:hAnsi="Calibri" w:cs="Calibri"/>
          <w:b/>
          <w:vertAlign w:val="superscript"/>
        </w:rPr>
        <w:footnoteReference w:id="16"/>
      </w:r>
      <w:r>
        <w:rPr>
          <w:rFonts w:ascii="Calibri" w:eastAsia="Calibri" w:hAnsi="Calibri" w:cs="Calibri"/>
          <w:b/>
        </w:rPr>
        <w:t xml:space="preserve"> </w:t>
      </w:r>
      <w:r>
        <w:rPr>
          <w:color w:val="000000"/>
        </w:rPr>
        <w:t xml:space="preserve">Rewards (positive scaled amounts) or penalties (negative scaled amounts) are then applied to each hospital’s update factor for the rate year. The rewards or penalties are applied on a one-time basis and are not considered </w:t>
      </w:r>
      <w:r>
        <w:rPr>
          <w:color w:val="000000"/>
        </w:rPr>
        <w:lastRenderedPageBreak/>
        <w:t xml:space="preserve">permanent revenue. The Commission previously approved scaling a maximum reward of </w:t>
      </w:r>
      <w:r>
        <w:t>2 percent</w:t>
      </w:r>
      <w:r>
        <w:rPr>
          <w:color w:val="000000"/>
        </w:rPr>
        <w:t xml:space="preserve"> and a penalty of 2</w:t>
      </w:r>
      <w:r>
        <w:t xml:space="preserve"> percent</w:t>
      </w:r>
      <w:r>
        <w:rPr>
          <w:color w:val="000000"/>
        </w:rPr>
        <w:t xml:space="preserve"> of total approved base inpatient revenue across all hospitals</w:t>
      </w:r>
      <w:r>
        <w:t>.</w:t>
      </w:r>
    </w:p>
    <w:p w14:paraId="1B6B4231" w14:textId="77777777" w:rsidR="00030A10" w:rsidRDefault="00556411">
      <w:pPr>
        <w:pBdr>
          <w:top w:val="nil"/>
          <w:left w:val="nil"/>
          <w:bottom w:val="nil"/>
          <w:right w:val="nil"/>
          <w:between w:val="nil"/>
        </w:pBdr>
        <w:spacing w:before="60" w:after="60"/>
        <w:ind w:hanging="360"/>
        <w:rPr>
          <w:color w:val="000000"/>
        </w:rPr>
      </w:pPr>
      <w:r>
        <w:t xml:space="preserve">      </w:t>
      </w:r>
      <w:r>
        <w:rPr>
          <w:color w:val="000000"/>
        </w:rPr>
        <w:t>HSCRC staff has worked with stakeholders over the last several years to align the QBR measures, thresholds, benchmark values, time lag periods, and amount of revenue at risk with those used by the CMS VBP program where feasible,</w:t>
      </w:r>
      <w:r>
        <w:rPr>
          <w:color w:val="000000"/>
          <w:vertAlign w:val="superscript"/>
        </w:rPr>
        <w:footnoteReference w:id="17"/>
      </w:r>
      <w:r>
        <w:rPr>
          <w:color w:val="000000"/>
        </w:rPr>
        <w:t xml:space="preserve"> allowing the HSCRC to use data submitted directly to CMS. As mentioned above, Maryland implemented an efficiency measure in relation to population based revenue budgets based on potentially avoidable utilization outside of the QBR program. The potentially avoidable utilization (PAU) savings adjustment to hospital rates is based on costs related to potentially avoidable admissions, as measured by the Agency for Healthcare Research and Quality Prevention Quality Indicators (PQIs) and avoidable readmissions. HSCRC staff will continue to work with key stakeholders to complete development of an efficiency measure that incorporates population-based cost outcomes.</w:t>
      </w:r>
    </w:p>
    <w:p w14:paraId="7CD71250" w14:textId="77777777" w:rsidR="00030A10" w:rsidRDefault="00556411">
      <w:pPr>
        <w:pStyle w:val="Heading2"/>
      </w:pPr>
      <w:bookmarkStart w:id="38" w:name="_Toc26345152"/>
      <w:r>
        <w:t>QBR Score Calculation</w:t>
      </w:r>
      <w:bookmarkEnd w:id="38"/>
    </w:p>
    <w:p w14:paraId="61E66FF6" w14:textId="77777777" w:rsidR="00030A10" w:rsidRDefault="00556411">
      <w:r>
        <w:t>QBR Scores are evaluated by comparing a hospital’s performance rate to its base period rate, as well as the threshold (which is the median, or 50</w:t>
      </w:r>
      <w:r>
        <w:rPr>
          <w:vertAlign w:val="superscript"/>
        </w:rPr>
        <w:t>th</w:t>
      </w:r>
      <w:r>
        <w:t xml:space="preserve"> percentile, of all hospitals’ performance during the baseline period), and the benchmark, (which is the mean of the top decile, or approximately the 95</w:t>
      </w:r>
      <w:r>
        <w:rPr>
          <w:vertAlign w:val="superscript"/>
        </w:rPr>
        <w:t>th</w:t>
      </w:r>
      <w:r>
        <w:t xml:space="preserve"> percentile, during the baseline period).</w:t>
      </w:r>
    </w:p>
    <w:p w14:paraId="60621598" w14:textId="77777777" w:rsidR="00030A10" w:rsidRDefault="00556411">
      <w:r>
        <w:rPr>
          <w:b/>
          <w:i/>
        </w:rPr>
        <w:t>Attainment Points:</w:t>
      </w:r>
      <w:r>
        <w:t xml:space="preserve"> During the performance period, attainment points are awarded by comparing an individual hospital’s rates with the threshold and the benchmark.  With the exception of the MD Mortality measure and ED Wait Time measures, the benchmarks and thresholds are the same as those used by CMS for the VBP program measures.</w:t>
      </w:r>
      <w:r>
        <w:rPr>
          <w:vertAlign w:val="superscript"/>
        </w:rPr>
        <w:footnoteReference w:id="18"/>
      </w:r>
      <w:r>
        <w:t xml:space="preserve">  For each measure, a hospital that has a rate at or above benchmark receives 10 attainment points. A hospital that has a rate below the attainment threshold receives 0 attainment points. A hospital that has a rate at or above the attainment threshold and below the benchmark receives 1-9 attainment points</w:t>
      </w:r>
    </w:p>
    <w:p w14:paraId="2DE35145" w14:textId="77777777" w:rsidR="00030A10" w:rsidRDefault="00556411">
      <w:r>
        <w:rPr>
          <w:b/>
          <w:i/>
        </w:rPr>
        <w:t>Improvement Points:</w:t>
      </w:r>
      <w:r>
        <w:t xml:space="preserve"> The improvement points are awarded by comparing a hospital’s rates during the performance period to the hospital’s rates from the baseline period. A hospital that has a rate at or above the attainment benchmark receives 9 improvement points. A hospital that has a rate at or below baseline period rate receives 0 improvement points. A hospital that has a rate between the baseline period rate and the attainment benchmark receives 0-9 improvement points.</w:t>
      </w:r>
    </w:p>
    <w:p w14:paraId="04B190DF" w14:textId="77777777" w:rsidR="00030A10" w:rsidRDefault="00556411">
      <w:r>
        <w:rPr>
          <w:b/>
          <w:i/>
        </w:rPr>
        <w:t>Consistency Points:</w:t>
      </w:r>
      <w:r>
        <w:t xml:space="preserve"> The consistency points relate only to the experience of care domain. The purpose of these points is to reward hospitals that have scores above the national 50</w:t>
      </w:r>
      <w:r>
        <w:rPr>
          <w:vertAlign w:val="superscript"/>
        </w:rPr>
        <w:t>th</w:t>
      </w:r>
      <w:r>
        <w:t xml:space="preserve"> percentile in all of the eight HCAHPS dimensions. If they do, they receive the full 20 points. If they do not, the dimension for which the hospital received the lowest score is compared to the range between </w:t>
      </w:r>
      <w:r>
        <w:lastRenderedPageBreak/>
        <w:t>the national 0 percentile (floor) and the 50</w:t>
      </w:r>
      <w:r>
        <w:rPr>
          <w:vertAlign w:val="superscript"/>
        </w:rPr>
        <w:t>th</w:t>
      </w:r>
      <w:r>
        <w:t xml:space="preserve"> percentile (threshold) and is awarded points proportionately. </w:t>
      </w:r>
    </w:p>
    <w:p w14:paraId="2B0F7575" w14:textId="725EE19B" w:rsidR="00030A10" w:rsidRDefault="00556411">
      <w:r>
        <w:rPr>
          <w:b/>
          <w:i/>
        </w:rPr>
        <w:t xml:space="preserve">Domain Denominator Adjustments: </w:t>
      </w:r>
      <w:r>
        <w:t xml:space="preserve">In particular instances, QBR measures will be excluded from the QBR program for individual hospitals. In the Person and Community Engagement domain, </w:t>
      </w:r>
      <w:r w:rsidR="00E17B10">
        <w:t>ED Wait Time</w:t>
      </w:r>
      <w:r>
        <w:t xml:space="preserve"> measures (if included in the RY 2020 program) will be excluded for protected hospitals. As described in the body of the report, a hospital may exclude the ED-2b measure if it has earned at least one improvement point and if its improvement score would reduce its overall QBR score. If this measure is excluded, the Person and Community Engagement domain will reduce from 110 total points to 100 points.</w:t>
      </w:r>
    </w:p>
    <w:p w14:paraId="0B19D70F" w14:textId="77777777" w:rsidR="00030A10" w:rsidRDefault="00556411">
      <w:r>
        <w:t>Similarly, hospitals are exempt from measurement for any of the NHSN Safety measures for which there is less than 1 predicted case in the performance period. If a hospital is exempt from an NHSN measure, its Safety domain score denominator reduces from 50 to 40 points. If it is exempt from two measures, the Safety domain score denominator would be 30 total possible points. Hospitals must have at least 2 of 5 Safety measures in order to be included in the Safety domain.</w:t>
      </w:r>
    </w:p>
    <w:p w14:paraId="795C0DD9" w14:textId="77777777" w:rsidR="00030A10" w:rsidRDefault="00556411">
      <w:r>
        <w:rPr>
          <w:b/>
          <w:i/>
        </w:rPr>
        <w:t>Domain Scores:</w:t>
      </w:r>
      <w:r>
        <w:rPr>
          <w:i/>
        </w:rPr>
        <w:t xml:space="preserve"> </w:t>
      </w:r>
      <w:r>
        <w:t xml:space="preserve">The better of attainment and improvement for each measure is used to determine the measure points for each measure, which are then summed and divided by the total possible points in each domain and multiplied by 100. </w:t>
      </w:r>
    </w:p>
    <w:p w14:paraId="5B8C2EE6" w14:textId="77777777" w:rsidR="00030A10" w:rsidRDefault="00556411">
      <w:pPr>
        <w:pBdr>
          <w:top w:val="nil"/>
          <w:left w:val="nil"/>
          <w:bottom w:val="nil"/>
          <w:right w:val="nil"/>
          <w:between w:val="nil"/>
        </w:pBdr>
        <w:rPr>
          <w:color w:val="000000"/>
        </w:rPr>
      </w:pPr>
      <w:r>
        <w:rPr>
          <w:b/>
          <w:i/>
          <w:color w:val="000000"/>
        </w:rPr>
        <w:t>Total Performance Score</w:t>
      </w:r>
      <w:r>
        <w:rPr>
          <w:i/>
          <w:color w:val="000000"/>
        </w:rPr>
        <w:t xml:space="preserve">: </w:t>
      </w:r>
      <w:r>
        <w:rPr>
          <w:color w:val="000000"/>
        </w:rPr>
        <w:t>The total Performance Score is computed by multiplying the domain scores by their specified weights, then adding those totals The Total Performance Score is then translated into a reward/ penalty that is applied to hospital revenue.</w:t>
      </w:r>
    </w:p>
    <w:p w14:paraId="2BF00B24" w14:textId="77777777" w:rsidR="00030A10" w:rsidRDefault="00556411">
      <w:pPr>
        <w:pStyle w:val="Heading2"/>
      </w:pPr>
      <w:bookmarkStart w:id="39" w:name="_daig1lqiul9c" w:colFirst="0" w:colLast="0"/>
      <w:bookmarkStart w:id="40" w:name="_Toc26345153"/>
      <w:bookmarkEnd w:id="39"/>
      <w:r>
        <w:t>Proposed RY 2022 QBR Program Updates</w:t>
      </w:r>
      <w:bookmarkEnd w:id="40"/>
    </w:p>
    <w:p w14:paraId="32E838E6" w14:textId="77777777" w:rsidR="00030A10" w:rsidRDefault="00556411">
      <w:r>
        <w:t>For RY 2022, no fundamental changes to the methodology or measures are proposed. Figure 1</w:t>
      </w:r>
      <w:r w:rsidR="00FA587C">
        <w:t>3</w:t>
      </w:r>
      <w:r>
        <w:t xml:space="preserve"> below depicts the steps for converting the measure scores to standardized scores for each measure, and then to rewards and penalties based upon total scores earned, with the proposed updates for RY 2022.</w:t>
      </w:r>
    </w:p>
    <w:p w14:paraId="11DB9AB6" w14:textId="77777777" w:rsidR="00030A10" w:rsidRDefault="00556411">
      <w:pPr>
        <w:keepNext/>
        <w:spacing w:before="0" w:after="0"/>
        <w:jc w:val="center"/>
      </w:pPr>
      <w:r>
        <w:rPr>
          <w:rFonts w:ascii="Calibri" w:eastAsia="Calibri" w:hAnsi="Calibri" w:cs="Calibri"/>
          <w:b/>
          <w:color w:val="4F81BD"/>
        </w:rPr>
        <w:lastRenderedPageBreak/>
        <w:t>Figure 1</w:t>
      </w:r>
      <w:r w:rsidR="00FA587C">
        <w:rPr>
          <w:rFonts w:ascii="Calibri" w:eastAsia="Calibri" w:hAnsi="Calibri" w:cs="Calibri"/>
          <w:b/>
          <w:color w:val="4F81BD"/>
        </w:rPr>
        <w:t>3</w:t>
      </w:r>
      <w:r>
        <w:rPr>
          <w:rFonts w:ascii="Calibri" w:eastAsia="Calibri" w:hAnsi="Calibri" w:cs="Calibri"/>
          <w:b/>
          <w:color w:val="4F81BD"/>
        </w:rPr>
        <w:t>. Proposed RY 2022 Process for Calculating QBR Scores</w:t>
      </w:r>
      <w:r>
        <w:rPr>
          <w:noProof/>
        </w:rPr>
        <w:drawing>
          <wp:inline distT="114300" distB="114300" distL="114300" distR="114300" wp14:anchorId="3518B409" wp14:editId="0FBF8D12">
            <wp:extent cx="5943600" cy="37465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3746500"/>
                    </a:xfrm>
                    <a:prstGeom prst="rect">
                      <a:avLst/>
                    </a:prstGeom>
                    <a:ln/>
                  </pic:spPr>
                </pic:pic>
              </a:graphicData>
            </a:graphic>
          </wp:inline>
        </w:drawing>
      </w:r>
    </w:p>
    <w:p w14:paraId="30CAF2B6" w14:textId="77777777" w:rsidR="00030A10" w:rsidRDefault="00556411">
      <w:r>
        <w:t xml:space="preserve">Similarly with the scoring and incentive methodology, there are no fundamental changes proposed for the measures and domain weighting for RY 2022, as illustrated </w:t>
      </w:r>
      <w:r w:rsidR="00FA587C">
        <w:t>in Figure 14</w:t>
      </w:r>
      <w:r>
        <w:t xml:space="preserve"> below.</w:t>
      </w:r>
    </w:p>
    <w:p w14:paraId="74CE0B9A" w14:textId="77777777" w:rsidR="00030A10" w:rsidRDefault="00FA587C">
      <w:pPr>
        <w:keepNext/>
        <w:spacing w:before="0" w:after="0"/>
        <w:jc w:val="center"/>
        <w:rPr>
          <w:rFonts w:ascii="Calibri" w:eastAsia="Calibri" w:hAnsi="Calibri" w:cs="Calibri"/>
          <w:b/>
          <w:color w:val="4F81BD"/>
        </w:rPr>
      </w:pPr>
      <w:r>
        <w:rPr>
          <w:rFonts w:ascii="Calibri" w:eastAsia="Calibri" w:hAnsi="Calibri" w:cs="Calibri"/>
          <w:b/>
          <w:color w:val="4F81BD"/>
        </w:rPr>
        <w:t>Figure 14</w:t>
      </w:r>
      <w:r w:rsidR="00556411">
        <w:rPr>
          <w:rFonts w:ascii="Calibri" w:eastAsia="Calibri" w:hAnsi="Calibri" w:cs="Calibri"/>
          <w:b/>
          <w:color w:val="4F81BD"/>
        </w:rPr>
        <w:t>. Proposed RY 2022 QBR Domains, Measures and Data Sources</w:t>
      </w:r>
    </w:p>
    <w:tbl>
      <w:tblPr>
        <w:tblStyle w:val="a2"/>
        <w:tblW w:w="9414" w:type="dxa"/>
        <w:tblLayout w:type="fixed"/>
        <w:tblLook w:val="0000" w:firstRow="0" w:lastRow="0" w:firstColumn="0" w:lastColumn="0" w:noHBand="0" w:noVBand="0"/>
      </w:tblPr>
      <w:tblGrid>
        <w:gridCol w:w="1436"/>
        <w:gridCol w:w="2691"/>
        <w:gridCol w:w="3225"/>
        <w:gridCol w:w="2062"/>
      </w:tblGrid>
      <w:tr w:rsidR="00030A10" w14:paraId="01BAD8C4" w14:textId="77777777">
        <w:trPr>
          <w:trHeight w:val="600"/>
        </w:trPr>
        <w:tc>
          <w:tcPr>
            <w:tcW w:w="1436" w:type="dxa"/>
            <w:tcBorders>
              <w:top w:val="single" w:sz="4" w:space="0" w:color="000000"/>
              <w:left w:val="single" w:sz="4" w:space="0" w:color="000000"/>
              <w:bottom w:val="single" w:sz="8" w:space="0" w:color="000000"/>
              <w:right w:val="single" w:sz="4" w:space="0" w:color="000000"/>
            </w:tcBorders>
            <w:shd w:val="clear" w:color="auto" w:fill="DEEAF6"/>
          </w:tcPr>
          <w:p w14:paraId="1FA00AD5" w14:textId="77777777" w:rsidR="00030A10" w:rsidRDefault="00556411">
            <w:pPr>
              <w:spacing w:before="0" w:after="0"/>
              <w:rPr>
                <w:sz w:val="20"/>
                <w:szCs w:val="20"/>
              </w:rPr>
            </w:pPr>
            <w:r>
              <w:rPr>
                <w:sz w:val="20"/>
                <w:szCs w:val="20"/>
              </w:rPr>
              <w:t> </w:t>
            </w:r>
          </w:p>
        </w:tc>
        <w:tc>
          <w:tcPr>
            <w:tcW w:w="2691" w:type="dxa"/>
            <w:tcBorders>
              <w:top w:val="single" w:sz="4" w:space="0" w:color="000000"/>
              <w:left w:val="nil"/>
              <w:bottom w:val="single" w:sz="8" w:space="0" w:color="000000"/>
              <w:right w:val="single" w:sz="4" w:space="0" w:color="000000"/>
            </w:tcBorders>
            <w:shd w:val="clear" w:color="auto" w:fill="DEEAF6"/>
            <w:vAlign w:val="center"/>
          </w:tcPr>
          <w:p w14:paraId="59CC58D5" w14:textId="77777777" w:rsidR="00030A10" w:rsidRDefault="00556411">
            <w:pPr>
              <w:spacing w:before="0" w:after="0"/>
              <w:jc w:val="center"/>
              <w:rPr>
                <w:sz w:val="20"/>
                <w:szCs w:val="20"/>
              </w:rPr>
            </w:pPr>
            <w:r>
              <w:rPr>
                <w:b/>
                <w:sz w:val="20"/>
                <w:szCs w:val="20"/>
              </w:rPr>
              <w:t>Clinical Care</w:t>
            </w:r>
          </w:p>
        </w:tc>
        <w:tc>
          <w:tcPr>
            <w:tcW w:w="3225" w:type="dxa"/>
            <w:tcBorders>
              <w:top w:val="single" w:sz="4" w:space="0" w:color="000000"/>
              <w:left w:val="nil"/>
              <w:bottom w:val="single" w:sz="8" w:space="0" w:color="000000"/>
              <w:right w:val="single" w:sz="4" w:space="0" w:color="000000"/>
            </w:tcBorders>
            <w:shd w:val="clear" w:color="auto" w:fill="DEEAF6"/>
            <w:vAlign w:val="center"/>
          </w:tcPr>
          <w:p w14:paraId="0F78B9D9" w14:textId="77777777" w:rsidR="00030A10" w:rsidRDefault="00556411">
            <w:pPr>
              <w:spacing w:before="0" w:after="0"/>
              <w:jc w:val="center"/>
              <w:rPr>
                <w:sz w:val="20"/>
                <w:szCs w:val="20"/>
              </w:rPr>
            </w:pPr>
            <w:r>
              <w:rPr>
                <w:b/>
                <w:sz w:val="20"/>
                <w:szCs w:val="20"/>
              </w:rPr>
              <w:t>Person and Community Engagement</w:t>
            </w:r>
          </w:p>
        </w:tc>
        <w:tc>
          <w:tcPr>
            <w:tcW w:w="2062" w:type="dxa"/>
            <w:tcBorders>
              <w:top w:val="single" w:sz="4" w:space="0" w:color="000000"/>
              <w:left w:val="nil"/>
              <w:bottom w:val="single" w:sz="8" w:space="0" w:color="000000"/>
              <w:right w:val="single" w:sz="4" w:space="0" w:color="000000"/>
            </w:tcBorders>
            <w:shd w:val="clear" w:color="auto" w:fill="DEEAF6"/>
            <w:vAlign w:val="center"/>
          </w:tcPr>
          <w:p w14:paraId="257E84D6" w14:textId="77777777" w:rsidR="00030A10" w:rsidRDefault="00556411">
            <w:pPr>
              <w:spacing w:before="0" w:after="0"/>
              <w:jc w:val="center"/>
              <w:rPr>
                <w:sz w:val="20"/>
                <w:szCs w:val="20"/>
              </w:rPr>
            </w:pPr>
            <w:r>
              <w:rPr>
                <w:b/>
                <w:sz w:val="20"/>
                <w:szCs w:val="20"/>
              </w:rPr>
              <w:t>Safety</w:t>
            </w:r>
          </w:p>
        </w:tc>
      </w:tr>
      <w:tr w:rsidR="00030A10" w14:paraId="3C4603B6" w14:textId="77777777">
        <w:trPr>
          <w:trHeight w:val="300"/>
        </w:trPr>
        <w:tc>
          <w:tcPr>
            <w:tcW w:w="1436" w:type="dxa"/>
            <w:tcBorders>
              <w:top w:val="nil"/>
              <w:left w:val="single" w:sz="4" w:space="0" w:color="000000"/>
              <w:bottom w:val="single" w:sz="4" w:space="0" w:color="000000"/>
              <w:right w:val="single" w:sz="4" w:space="0" w:color="000000"/>
            </w:tcBorders>
            <w:vAlign w:val="center"/>
          </w:tcPr>
          <w:p w14:paraId="781A9491" w14:textId="77777777" w:rsidR="00030A10" w:rsidRDefault="00556411">
            <w:pPr>
              <w:spacing w:before="0" w:after="0"/>
              <w:rPr>
                <w:sz w:val="20"/>
                <w:szCs w:val="20"/>
              </w:rPr>
            </w:pPr>
            <w:r>
              <w:rPr>
                <w:b/>
                <w:sz w:val="20"/>
                <w:szCs w:val="20"/>
              </w:rPr>
              <w:t xml:space="preserve">Proposed QBR RY 2022 </w:t>
            </w:r>
          </w:p>
        </w:tc>
        <w:tc>
          <w:tcPr>
            <w:tcW w:w="2691" w:type="dxa"/>
            <w:tcBorders>
              <w:top w:val="nil"/>
              <w:left w:val="nil"/>
              <w:bottom w:val="single" w:sz="4" w:space="0" w:color="000000"/>
              <w:right w:val="single" w:sz="4" w:space="0" w:color="000000"/>
            </w:tcBorders>
            <w:vAlign w:val="center"/>
          </w:tcPr>
          <w:p w14:paraId="2EC275D1" w14:textId="77777777" w:rsidR="00030A10" w:rsidRDefault="00556411">
            <w:pPr>
              <w:spacing w:before="0" w:after="0"/>
              <w:rPr>
                <w:sz w:val="20"/>
                <w:szCs w:val="20"/>
              </w:rPr>
            </w:pPr>
            <w:r>
              <w:rPr>
                <w:sz w:val="20"/>
                <w:szCs w:val="20"/>
              </w:rPr>
              <w:t xml:space="preserve">15 percent </w:t>
            </w:r>
          </w:p>
          <w:p w14:paraId="752E9622" w14:textId="77777777" w:rsidR="00030A10" w:rsidRDefault="00556411">
            <w:pPr>
              <w:spacing w:before="0" w:after="0"/>
              <w:rPr>
                <w:sz w:val="20"/>
                <w:szCs w:val="20"/>
              </w:rPr>
            </w:pPr>
            <w:r>
              <w:rPr>
                <w:sz w:val="20"/>
                <w:szCs w:val="20"/>
              </w:rPr>
              <w:t xml:space="preserve">2 measures </w:t>
            </w:r>
          </w:p>
          <w:p w14:paraId="174293EF" w14:textId="77777777" w:rsidR="00030A10" w:rsidRDefault="00556411">
            <w:pPr>
              <w:numPr>
                <w:ilvl w:val="0"/>
                <w:numId w:val="2"/>
              </w:numPr>
              <w:spacing w:before="0" w:after="0"/>
              <w:rPr>
                <w:sz w:val="20"/>
                <w:szCs w:val="20"/>
              </w:rPr>
            </w:pPr>
            <w:r>
              <w:rPr>
                <w:sz w:val="20"/>
                <w:szCs w:val="20"/>
              </w:rPr>
              <w:t>Inpatient Mortality (HSCRC case mix data)</w:t>
            </w:r>
          </w:p>
          <w:p w14:paraId="7031FBC8" w14:textId="77777777" w:rsidR="00030A10" w:rsidRDefault="00556411">
            <w:pPr>
              <w:numPr>
                <w:ilvl w:val="0"/>
                <w:numId w:val="2"/>
              </w:numPr>
              <w:spacing w:before="0" w:after="0"/>
              <w:rPr>
                <w:sz w:val="20"/>
                <w:szCs w:val="20"/>
              </w:rPr>
            </w:pPr>
            <w:r>
              <w:rPr>
                <w:sz w:val="20"/>
                <w:szCs w:val="20"/>
              </w:rPr>
              <w:t>THA TKA (CMS Hospital Compare, Medicare claims data)</w:t>
            </w:r>
          </w:p>
        </w:tc>
        <w:tc>
          <w:tcPr>
            <w:tcW w:w="3225" w:type="dxa"/>
            <w:tcBorders>
              <w:top w:val="nil"/>
              <w:left w:val="nil"/>
              <w:bottom w:val="single" w:sz="4" w:space="0" w:color="000000"/>
              <w:right w:val="single" w:sz="4" w:space="0" w:color="000000"/>
            </w:tcBorders>
            <w:vAlign w:val="center"/>
          </w:tcPr>
          <w:p w14:paraId="48951E31" w14:textId="77777777" w:rsidR="00030A10" w:rsidRDefault="00556411">
            <w:pPr>
              <w:spacing w:before="0" w:after="0"/>
              <w:rPr>
                <w:sz w:val="20"/>
                <w:szCs w:val="20"/>
              </w:rPr>
            </w:pPr>
            <w:r>
              <w:rPr>
                <w:sz w:val="20"/>
                <w:szCs w:val="20"/>
              </w:rPr>
              <w:t xml:space="preserve">50 percent </w:t>
            </w:r>
          </w:p>
          <w:p w14:paraId="1BB4256E" w14:textId="581DAA00" w:rsidR="00030A10" w:rsidRDefault="002263B5">
            <w:pPr>
              <w:spacing w:before="0" w:after="0"/>
              <w:rPr>
                <w:sz w:val="20"/>
                <w:szCs w:val="20"/>
              </w:rPr>
            </w:pPr>
            <w:r>
              <w:rPr>
                <w:sz w:val="20"/>
                <w:szCs w:val="20"/>
              </w:rPr>
              <w:t xml:space="preserve">8 </w:t>
            </w:r>
            <w:bookmarkStart w:id="41" w:name="_GoBack"/>
            <w:bookmarkEnd w:id="41"/>
            <w:r w:rsidR="00556411">
              <w:rPr>
                <w:sz w:val="20"/>
                <w:szCs w:val="20"/>
              </w:rPr>
              <w:t xml:space="preserve"> measures</w:t>
            </w:r>
          </w:p>
          <w:p w14:paraId="690CA874" w14:textId="77777777" w:rsidR="00030A10" w:rsidRDefault="00556411">
            <w:pPr>
              <w:numPr>
                <w:ilvl w:val="0"/>
                <w:numId w:val="3"/>
              </w:numPr>
              <w:spacing w:before="0" w:after="0"/>
              <w:rPr>
                <w:sz w:val="20"/>
                <w:szCs w:val="20"/>
              </w:rPr>
            </w:pPr>
            <w:r>
              <w:rPr>
                <w:sz w:val="20"/>
                <w:szCs w:val="20"/>
              </w:rPr>
              <w:t>8 HCAHPS domains (CMS Hospital Compare patient survey)</w:t>
            </w:r>
          </w:p>
          <w:p w14:paraId="25A74C86" w14:textId="4904F0E1" w:rsidR="00030A10" w:rsidRDefault="00030A10" w:rsidP="002263B5">
            <w:pPr>
              <w:spacing w:before="0" w:after="0"/>
              <w:ind w:left="360"/>
              <w:rPr>
                <w:sz w:val="20"/>
                <w:szCs w:val="20"/>
              </w:rPr>
            </w:pPr>
          </w:p>
          <w:p w14:paraId="1E2F771D" w14:textId="77777777" w:rsidR="00030A10" w:rsidRDefault="00030A10">
            <w:pPr>
              <w:spacing w:before="0" w:after="0"/>
              <w:ind w:left="360"/>
              <w:rPr>
                <w:sz w:val="20"/>
                <w:szCs w:val="20"/>
              </w:rPr>
            </w:pPr>
          </w:p>
        </w:tc>
        <w:tc>
          <w:tcPr>
            <w:tcW w:w="2062" w:type="dxa"/>
            <w:tcBorders>
              <w:top w:val="nil"/>
              <w:left w:val="nil"/>
              <w:bottom w:val="single" w:sz="4" w:space="0" w:color="000000"/>
              <w:right w:val="single" w:sz="4" w:space="0" w:color="000000"/>
            </w:tcBorders>
            <w:vAlign w:val="center"/>
          </w:tcPr>
          <w:p w14:paraId="1DF9637C" w14:textId="77777777" w:rsidR="00030A10" w:rsidRDefault="00556411">
            <w:pPr>
              <w:spacing w:before="0" w:after="0"/>
              <w:rPr>
                <w:sz w:val="20"/>
                <w:szCs w:val="20"/>
              </w:rPr>
            </w:pPr>
            <w:r>
              <w:rPr>
                <w:sz w:val="20"/>
                <w:szCs w:val="20"/>
              </w:rPr>
              <w:t>35 percent</w:t>
            </w:r>
          </w:p>
          <w:p w14:paraId="036A5E9F" w14:textId="77777777" w:rsidR="00030A10" w:rsidRDefault="00986DD1">
            <w:pPr>
              <w:spacing w:before="0" w:after="0"/>
              <w:rPr>
                <w:sz w:val="20"/>
                <w:szCs w:val="20"/>
              </w:rPr>
            </w:pPr>
            <w:r>
              <w:rPr>
                <w:sz w:val="20"/>
                <w:szCs w:val="20"/>
              </w:rPr>
              <w:t>5</w:t>
            </w:r>
            <w:r w:rsidR="00556411">
              <w:rPr>
                <w:sz w:val="20"/>
                <w:szCs w:val="20"/>
              </w:rPr>
              <w:t xml:space="preserve"> measures</w:t>
            </w:r>
          </w:p>
          <w:p w14:paraId="22BCB3AF" w14:textId="77777777" w:rsidR="00030A10" w:rsidRDefault="00986DD1">
            <w:pPr>
              <w:numPr>
                <w:ilvl w:val="0"/>
                <w:numId w:val="4"/>
              </w:numPr>
              <w:spacing w:before="0" w:after="0"/>
              <w:rPr>
                <w:sz w:val="20"/>
                <w:szCs w:val="20"/>
              </w:rPr>
            </w:pPr>
            <w:r>
              <w:rPr>
                <w:sz w:val="20"/>
                <w:szCs w:val="20"/>
              </w:rPr>
              <w:t>6 CDC NHSN HAI categories</w:t>
            </w:r>
            <w:r w:rsidR="00556411">
              <w:rPr>
                <w:sz w:val="20"/>
                <w:szCs w:val="20"/>
              </w:rPr>
              <w:t xml:space="preserve"> (CMS Hospital Compare chart abstracted)</w:t>
            </w:r>
          </w:p>
        </w:tc>
      </w:tr>
    </w:tbl>
    <w:p w14:paraId="7A2BE4D4" w14:textId="77777777" w:rsidR="00A56235" w:rsidRDefault="00A56235" w:rsidP="00A56235">
      <w:r>
        <w:t>Figure 15 illustrates the base and performance period timeline for the RY 2022 QBR program</w:t>
      </w:r>
    </w:p>
    <w:p w14:paraId="65092D5D" w14:textId="77777777" w:rsidR="00030A10" w:rsidRDefault="00030A10"/>
    <w:p w14:paraId="1E39A23C" w14:textId="77777777" w:rsidR="00030A10" w:rsidRDefault="00030A10">
      <w:pPr>
        <w:ind w:firstLine="576"/>
      </w:pPr>
    </w:p>
    <w:p w14:paraId="6AFAB0D4" w14:textId="77777777" w:rsidR="00A56235" w:rsidRDefault="00A56235">
      <w:pPr>
        <w:ind w:firstLine="576"/>
        <w:rPr>
          <w:rFonts w:ascii="Calibri" w:eastAsia="Calibri" w:hAnsi="Calibri" w:cs="Calibri"/>
          <w:b/>
          <w:color w:val="365F91"/>
        </w:rPr>
        <w:sectPr w:rsidR="00A56235" w:rsidSect="001B1684">
          <w:footerReference w:type="default" r:id="rId25"/>
          <w:pgSz w:w="12240" w:h="15840"/>
          <w:pgMar w:top="1350" w:right="1440" w:bottom="432" w:left="1440" w:header="720" w:footer="720" w:gutter="0"/>
          <w:pgNumType w:start="2"/>
          <w:cols w:space="720" w:equalWidth="0">
            <w:col w:w="9360"/>
          </w:cols>
        </w:sectPr>
      </w:pPr>
    </w:p>
    <w:p w14:paraId="24119C6F" w14:textId="015D14FC" w:rsidR="00030A10" w:rsidRDefault="00556411">
      <w:pPr>
        <w:ind w:firstLine="576"/>
        <w:rPr>
          <w:rFonts w:ascii="Calibri" w:eastAsia="Calibri" w:hAnsi="Calibri" w:cs="Calibri"/>
          <w:b/>
          <w:color w:val="365F91"/>
        </w:rPr>
      </w:pPr>
      <w:r>
        <w:rPr>
          <w:rFonts w:ascii="Calibri" w:eastAsia="Calibri" w:hAnsi="Calibri" w:cs="Calibri"/>
          <w:b/>
          <w:color w:val="365F91"/>
        </w:rPr>
        <w:lastRenderedPageBreak/>
        <w:t>Figure 1</w:t>
      </w:r>
      <w:r w:rsidR="00FA587C">
        <w:rPr>
          <w:rFonts w:ascii="Calibri" w:eastAsia="Calibri" w:hAnsi="Calibri" w:cs="Calibri"/>
          <w:b/>
          <w:color w:val="365F91"/>
        </w:rPr>
        <w:t>5</w:t>
      </w:r>
      <w:r>
        <w:rPr>
          <w:rFonts w:ascii="Calibri" w:eastAsia="Calibri" w:hAnsi="Calibri" w:cs="Calibri"/>
          <w:b/>
          <w:color w:val="365F91"/>
        </w:rPr>
        <w:t xml:space="preserve">. RY 2022 Proposed Timeline (Base and Performance Periods; Financial Impact) </w:t>
      </w:r>
    </w:p>
    <w:p w14:paraId="740553D0" w14:textId="7F00E0C6" w:rsidR="00A56235" w:rsidRDefault="00A56235" w:rsidP="00A56235">
      <w:pPr>
        <w:sectPr w:rsidR="00A56235" w:rsidSect="00A56235">
          <w:pgSz w:w="15840" w:h="12240" w:orient="landscape"/>
          <w:pgMar w:top="1440" w:right="1350" w:bottom="1440" w:left="432" w:header="720" w:footer="720" w:gutter="0"/>
          <w:pgNumType w:start="2"/>
          <w:cols w:space="720" w:equalWidth="0">
            <w:col w:w="9360"/>
          </w:cols>
          <w:docGrid w:linePitch="326"/>
        </w:sectPr>
      </w:pPr>
      <w:bookmarkStart w:id="42" w:name="_3j2qqm3" w:colFirst="0" w:colLast="0"/>
      <w:bookmarkEnd w:id="42"/>
      <w:r w:rsidRPr="00A56235">
        <w:drawing>
          <wp:inline distT="0" distB="0" distL="0" distR="0" wp14:anchorId="5FBBFBB9" wp14:editId="0D2A2C29">
            <wp:extent cx="9313833" cy="3975652"/>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79002" cy="4003470"/>
                    </a:xfrm>
                    <a:prstGeom prst="rect">
                      <a:avLst/>
                    </a:prstGeom>
                  </pic:spPr>
                </pic:pic>
              </a:graphicData>
            </a:graphic>
          </wp:inline>
        </w:drawing>
      </w:r>
    </w:p>
    <w:p w14:paraId="07A44DCD" w14:textId="4C2DF444" w:rsidR="00986DD1" w:rsidRDefault="00556411" w:rsidP="00986DD1">
      <w:pPr>
        <w:pStyle w:val="Heading1"/>
      </w:pPr>
      <w:bookmarkStart w:id="43" w:name="_Toc26345154"/>
      <w:r>
        <w:lastRenderedPageBreak/>
        <w:t>A</w:t>
      </w:r>
      <w:r w:rsidR="00355A3E">
        <w:t>ppendix III. RY 2020 HCAHPS Measure Results by Hospital</w:t>
      </w:r>
      <w:bookmarkEnd w:id="43"/>
    </w:p>
    <w:p w14:paraId="45496267" w14:textId="77777777" w:rsidR="00B22D95" w:rsidRDefault="00986DD1" w:rsidP="00986DD1">
      <w:pPr>
        <w:sectPr w:rsidR="00B22D95" w:rsidSect="00B22D95">
          <w:footerReference w:type="default" r:id="rId27"/>
          <w:pgSz w:w="12240" w:h="15840"/>
          <w:pgMar w:top="245" w:right="1620" w:bottom="245" w:left="576" w:header="720" w:footer="720" w:gutter="0"/>
          <w:cols w:space="720" w:equalWidth="0">
            <w:col w:w="9360"/>
          </w:cols>
          <w:docGrid w:linePitch="326"/>
        </w:sectPr>
      </w:pPr>
      <w:r w:rsidRPr="00986DD1">
        <w:rPr>
          <w:b/>
          <w:smallCaps/>
        </w:rPr>
        <w:t xml:space="preserve"> </w:t>
      </w:r>
      <w:r w:rsidRPr="00986DD1">
        <w:rPr>
          <w:noProof/>
        </w:rPr>
        <w:drawing>
          <wp:inline distT="0" distB="0" distL="0" distR="0" wp14:anchorId="751B13F9" wp14:editId="2ADA351D">
            <wp:extent cx="6594320" cy="7251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8794" cy="7267617"/>
                    </a:xfrm>
                    <a:prstGeom prst="rect">
                      <a:avLst/>
                    </a:prstGeom>
                    <a:noFill/>
                    <a:ln>
                      <a:noFill/>
                    </a:ln>
                  </pic:spPr>
                </pic:pic>
              </a:graphicData>
            </a:graphic>
          </wp:inline>
        </w:drawing>
      </w:r>
      <w:r w:rsidR="00B22D95">
        <w:t xml:space="preserve">  </w:t>
      </w:r>
    </w:p>
    <w:p w14:paraId="2B50D459" w14:textId="0C1970DB" w:rsidR="00030A10" w:rsidRPr="00355A3E" w:rsidRDefault="00B22D95" w:rsidP="00355A3E">
      <w:pPr>
        <w:pStyle w:val="Heading1"/>
      </w:pPr>
      <w:bookmarkStart w:id="44" w:name="_Toc26345155"/>
      <w:r w:rsidRPr="00355A3E">
        <w:lastRenderedPageBreak/>
        <w:t>A</w:t>
      </w:r>
      <w:r w:rsidR="00A56235">
        <w:t>ppendix IV. RY 202</w:t>
      </w:r>
      <w:r w:rsidR="005F72FD">
        <w:t>1</w:t>
      </w:r>
      <w:r w:rsidR="00355A3E" w:rsidRPr="00355A3E">
        <w:t xml:space="preserve"> QBR Performance Standards</w:t>
      </w:r>
      <w:bookmarkEnd w:id="44"/>
    </w:p>
    <w:tbl>
      <w:tblPr>
        <w:tblStyle w:val="a3"/>
        <w:tblW w:w="9900" w:type="dxa"/>
        <w:tblLayout w:type="fixed"/>
        <w:tblLook w:val="0000" w:firstRow="0" w:lastRow="0" w:firstColumn="0" w:lastColumn="0" w:noHBand="0" w:noVBand="0"/>
      </w:tblPr>
      <w:tblGrid>
        <w:gridCol w:w="2790"/>
        <w:gridCol w:w="3150"/>
        <w:gridCol w:w="2070"/>
        <w:gridCol w:w="1890"/>
      </w:tblGrid>
      <w:tr w:rsidR="00030A10" w14:paraId="2FA06574" w14:textId="77777777">
        <w:trPr>
          <w:trHeight w:val="40"/>
        </w:trPr>
        <w:tc>
          <w:tcPr>
            <w:tcW w:w="9900" w:type="dxa"/>
            <w:gridSpan w:val="4"/>
            <w:tcBorders>
              <w:top w:val="single" w:sz="8" w:space="0" w:color="7F9DB9"/>
              <w:left w:val="nil"/>
              <w:bottom w:val="single" w:sz="24" w:space="0" w:color="7F9DB9"/>
              <w:right w:val="nil"/>
            </w:tcBorders>
            <w:vAlign w:val="center"/>
          </w:tcPr>
          <w:p w14:paraId="56EF2662"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b/>
                <w:color w:val="333333"/>
                <w:sz w:val="18"/>
                <w:szCs w:val="18"/>
              </w:rPr>
              <w:t> </w:t>
            </w:r>
          </w:p>
        </w:tc>
      </w:tr>
      <w:tr w:rsidR="00030A10" w14:paraId="1B05FB27" w14:textId="77777777">
        <w:trPr>
          <w:trHeight w:val="300"/>
        </w:trPr>
        <w:tc>
          <w:tcPr>
            <w:tcW w:w="9900" w:type="dxa"/>
            <w:gridSpan w:val="4"/>
            <w:tcBorders>
              <w:top w:val="single" w:sz="24" w:space="0" w:color="7F9DB9"/>
              <w:left w:val="nil"/>
              <w:bottom w:val="nil"/>
              <w:right w:val="nil"/>
            </w:tcBorders>
            <w:vAlign w:val="center"/>
          </w:tcPr>
          <w:p w14:paraId="3760E38A" w14:textId="77777777" w:rsidR="00030A10" w:rsidRDefault="00556411">
            <w:pPr>
              <w:spacing w:before="0" w:after="0"/>
              <w:rPr>
                <w:rFonts w:ascii="Verdana" w:eastAsia="Verdana" w:hAnsi="Verdana" w:cs="Verdana"/>
                <w:color w:val="333333"/>
              </w:rPr>
            </w:pPr>
            <w:r>
              <w:rPr>
                <w:rFonts w:ascii="Verdana" w:eastAsia="Verdana" w:hAnsi="Verdana" w:cs="Verdana"/>
                <w:b/>
                <w:color w:val="333333"/>
              </w:rPr>
              <w:t>Person and Community Engagement Domain*</w:t>
            </w:r>
          </w:p>
        </w:tc>
      </w:tr>
      <w:tr w:rsidR="00030A10" w14:paraId="5B47D939" w14:textId="77777777">
        <w:trPr>
          <w:trHeight w:val="420"/>
        </w:trPr>
        <w:tc>
          <w:tcPr>
            <w:tcW w:w="2790" w:type="dxa"/>
            <w:tcBorders>
              <w:top w:val="single" w:sz="8" w:space="0" w:color="7F9DB9"/>
              <w:left w:val="single" w:sz="8" w:space="0" w:color="7F9DB9"/>
              <w:bottom w:val="single" w:sz="8" w:space="0" w:color="7F9DB9"/>
              <w:right w:val="single" w:sz="8" w:space="0" w:color="7F9DB9"/>
            </w:tcBorders>
            <w:shd w:val="clear" w:color="auto" w:fill="E9F6FF"/>
          </w:tcPr>
          <w:p w14:paraId="4F80CEB9" w14:textId="77777777" w:rsidR="00030A10" w:rsidRDefault="00556411">
            <w:pPr>
              <w:spacing w:before="0" w:after="0"/>
              <w:ind w:firstLine="181"/>
              <w:rPr>
                <w:rFonts w:ascii="Verdana" w:eastAsia="Verdana" w:hAnsi="Verdana" w:cs="Verdana"/>
                <w:color w:val="333333"/>
                <w:sz w:val="18"/>
                <w:szCs w:val="18"/>
              </w:rPr>
            </w:pPr>
            <w:r>
              <w:rPr>
                <w:rFonts w:ascii="Verdana" w:eastAsia="Verdana" w:hAnsi="Verdana" w:cs="Verdana"/>
                <w:b/>
                <w:color w:val="333333"/>
                <w:sz w:val="18"/>
                <w:szCs w:val="18"/>
              </w:rPr>
              <w:t>Dimension</w:t>
            </w:r>
          </w:p>
        </w:tc>
        <w:tc>
          <w:tcPr>
            <w:tcW w:w="3150" w:type="dxa"/>
            <w:tcBorders>
              <w:top w:val="single" w:sz="8" w:space="0" w:color="7F9DB9"/>
              <w:left w:val="nil"/>
              <w:bottom w:val="single" w:sz="8" w:space="0" w:color="7F9DB9"/>
              <w:right w:val="single" w:sz="8" w:space="0" w:color="7F9DB9"/>
            </w:tcBorders>
            <w:shd w:val="clear" w:color="auto" w:fill="E9F6FF"/>
          </w:tcPr>
          <w:p w14:paraId="1B877AF5" w14:textId="77777777" w:rsidR="00030A10" w:rsidRDefault="00030A10">
            <w:pPr>
              <w:spacing w:before="0" w:after="0"/>
              <w:ind w:firstLine="181"/>
              <w:rPr>
                <w:rFonts w:ascii="Verdana" w:eastAsia="Verdana" w:hAnsi="Verdana" w:cs="Verdana"/>
                <w:color w:val="333333"/>
                <w:sz w:val="18"/>
                <w:szCs w:val="18"/>
              </w:rPr>
            </w:pPr>
          </w:p>
          <w:p w14:paraId="3784C420" w14:textId="77777777" w:rsidR="00030A10" w:rsidRDefault="00556411">
            <w:pPr>
              <w:spacing w:before="0" w:after="0"/>
              <w:ind w:firstLine="181"/>
              <w:rPr>
                <w:rFonts w:ascii="Verdana" w:eastAsia="Verdana" w:hAnsi="Verdana" w:cs="Verdana"/>
                <w:color w:val="333333"/>
                <w:sz w:val="18"/>
                <w:szCs w:val="18"/>
              </w:rPr>
            </w:pPr>
            <w:r>
              <w:rPr>
                <w:rFonts w:ascii="Verdana" w:eastAsia="Verdana" w:hAnsi="Verdana" w:cs="Verdana"/>
                <w:b/>
                <w:color w:val="333333"/>
                <w:sz w:val="18"/>
                <w:szCs w:val="18"/>
              </w:rPr>
              <w:t>Benchmark</w:t>
            </w:r>
          </w:p>
        </w:tc>
        <w:tc>
          <w:tcPr>
            <w:tcW w:w="2070" w:type="dxa"/>
            <w:tcBorders>
              <w:top w:val="single" w:sz="8" w:space="0" w:color="7F9DB9"/>
              <w:left w:val="nil"/>
              <w:bottom w:val="single" w:sz="8" w:space="0" w:color="7F9DB9"/>
              <w:right w:val="single" w:sz="8" w:space="0" w:color="7F9DB9"/>
            </w:tcBorders>
            <w:shd w:val="clear" w:color="auto" w:fill="E9F6FF"/>
          </w:tcPr>
          <w:p w14:paraId="7B64BF29" w14:textId="77777777" w:rsidR="00030A10" w:rsidRDefault="00556411">
            <w:pPr>
              <w:spacing w:before="0" w:after="0"/>
              <w:ind w:firstLine="181"/>
              <w:rPr>
                <w:rFonts w:ascii="Verdana" w:eastAsia="Verdana" w:hAnsi="Verdana" w:cs="Verdana"/>
                <w:b/>
                <w:color w:val="333333"/>
                <w:sz w:val="18"/>
                <w:szCs w:val="18"/>
              </w:rPr>
            </w:pPr>
            <w:r>
              <w:rPr>
                <w:rFonts w:ascii="Verdana" w:eastAsia="Verdana" w:hAnsi="Verdana" w:cs="Verdana"/>
                <w:b/>
                <w:color w:val="333333"/>
                <w:sz w:val="18"/>
                <w:szCs w:val="18"/>
              </w:rPr>
              <w:t xml:space="preserve">Achievement Threshold </w:t>
            </w:r>
          </w:p>
          <w:p w14:paraId="6306894B" w14:textId="77777777" w:rsidR="00030A10" w:rsidRDefault="00556411">
            <w:pPr>
              <w:spacing w:before="0" w:after="0"/>
              <w:ind w:firstLine="181"/>
              <w:rPr>
                <w:rFonts w:ascii="Verdana" w:eastAsia="Verdana" w:hAnsi="Verdana" w:cs="Verdana"/>
                <w:color w:val="333333"/>
                <w:sz w:val="18"/>
                <w:szCs w:val="18"/>
              </w:rPr>
            </w:pPr>
            <w:r>
              <w:rPr>
                <w:rFonts w:ascii="Verdana" w:eastAsia="Verdana" w:hAnsi="Verdana" w:cs="Verdana"/>
                <w:b/>
                <w:color w:val="333333"/>
                <w:sz w:val="18"/>
                <w:szCs w:val="18"/>
              </w:rPr>
              <w:t>(50th percentile)</w:t>
            </w:r>
          </w:p>
        </w:tc>
        <w:tc>
          <w:tcPr>
            <w:tcW w:w="1890" w:type="dxa"/>
            <w:tcBorders>
              <w:top w:val="single" w:sz="8" w:space="0" w:color="7F9DB9"/>
              <w:left w:val="nil"/>
              <w:bottom w:val="single" w:sz="8" w:space="0" w:color="7F9DB9"/>
              <w:right w:val="single" w:sz="8" w:space="0" w:color="7F9DB9"/>
            </w:tcBorders>
            <w:shd w:val="clear" w:color="auto" w:fill="E9F6FF"/>
          </w:tcPr>
          <w:p w14:paraId="0CCDF6C3" w14:textId="77777777" w:rsidR="00030A10" w:rsidRDefault="00556411">
            <w:pPr>
              <w:spacing w:before="0" w:after="0"/>
              <w:ind w:firstLine="181"/>
              <w:rPr>
                <w:rFonts w:ascii="Verdana" w:eastAsia="Verdana" w:hAnsi="Verdana" w:cs="Verdana"/>
                <w:b/>
                <w:color w:val="333333"/>
                <w:sz w:val="18"/>
                <w:szCs w:val="18"/>
              </w:rPr>
            </w:pPr>
            <w:r>
              <w:rPr>
                <w:rFonts w:ascii="Verdana" w:eastAsia="Verdana" w:hAnsi="Verdana" w:cs="Verdana"/>
                <w:b/>
                <w:color w:val="333333"/>
                <w:sz w:val="18"/>
                <w:szCs w:val="18"/>
              </w:rPr>
              <w:t>Floor</w:t>
            </w:r>
          </w:p>
          <w:p w14:paraId="54805BA0" w14:textId="77777777" w:rsidR="00030A10" w:rsidRDefault="00556411">
            <w:pPr>
              <w:spacing w:before="0" w:after="0"/>
              <w:ind w:firstLine="181"/>
              <w:rPr>
                <w:rFonts w:ascii="Verdana" w:eastAsia="Verdana" w:hAnsi="Verdana" w:cs="Verdana"/>
                <w:b/>
                <w:color w:val="333333"/>
                <w:sz w:val="18"/>
                <w:szCs w:val="18"/>
              </w:rPr>
            </w:pPr>
            <w:r>
              <w:rPr>
                <w:rFonts w:ascii="Verdana" w:eastAsia="Verdana" w:hAnsi="Verdana" w:cs="Verdana"/>
                <w:b/>
                <w:color w:val="333333"/>
                <w:sz w:val="18"/>
                <w:szCs w:val="18"/>
              </w:rPr>
              <w:t>(Minimum)</w:t>
            </w:r>
          </w:p>
        </w:tc>
      </w:tr>
      <w:tr w:rsidR="00030A10" w14:paraId="4ED0E7BA" w14:textId="77777777">
        <w:trPr>
          <w:trHeight w:val="320"/>
        </w:trPr>
        <w:tc>
          <w:tcPr>
            <w:tcW w:w="2790" w:type="dxa"/>
            <w:tcBorders>
              <w:top w:val="nil"/>
              <w:left w:val="single" w:sz="8" w:space="0" w:color="7F9DB9"/>
              <w:bottom w:val="single" w:sz="8" w:space="0" w:color="7F9DB9"/>
              <w:right w:val="single" w:sz="8" w:space="0" w:color="7F9DB9"/>
            </w:tcBorders>
            <w:shd w:val="clear" w:color="auto" w:fill="FFFFFF"/>
          </w:tcPr>
          <w:p w14:paraId="6E654036"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Communication with Nurses</w:t>
            </w:r>
          </w:p>
        </w:tc>
        <w:tc>
          <w:tcPr>
            <w:tcW w:w="3150" w:type="dxa"/>
            <w:tcBorders>
              <w:top w:val="nil"/>
              <w:left w:val="nil"/>
              <w:bottom w:val="single" w:sz="8" w:space="0" w:color="7F9DB9"/>
              <w:right w:val="single" w:sz="8" w:space="0" w:color="7F9DB9"/>
            </w:tcBorders>
            <w:shd w:val="clear" w:color="auto" w:fill="FFFFFF"/>
          </w:tcPr>
          <w:p w14:paraId="3D5D5606"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87.53 percent</w:t>
            </w:r>
          </w:p>
        </w:tc>
        <w:tc>
          <w:tcPr>
            <w:tcW w:w="2070" w:type="dxa"/>
            <w:tcBorders>
              <w:top w:val="nil"/>
              <w:left w:val="nil"/>
              <w:bottom w:val="single" w:sz="8" w:space="0" w:color="7F9DB9"/>
              <w:right w:val="single" w:sz="8" w:space="0" w:color="7F9DB9"/>
            </w:tcBorders>
            <w:shd w:val="clear" w:color="auto" w:fill="FFFFFF"/>
          </w:tcPr>
          <w:p w14:paraId="40B9E824"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79.18 percent</w:t>
            </w:r>
          </w:p>
        </w:tc>
        <w:tc>
          <w:tcPr>
            <w:tcW w:w="1890" w:type="dxa"/>
            <w:tcBorders>
              <w:top w:val="nil"/>
              <w:left w:val="nil"/>
              <w:bottom w:val="single" w:sz="8" w:space="0" w:color="7F9DB9"/>
              <w:right w:val="single" w:sz="8" w:space="0" w:color="7F9DB9"/>
            </w:tcBorders>
            <w:shd w:val="clear" w:color="auto" w:fill="FFFFFF"/>
          </w:tcPr>
          <w:p w14:paraId="370B7D41"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15.73 percent</w:t>
            </w:r>
          </w:p>
        </w:tc>
      </w:tr>
      <w:tr w:rsidR="00030A10" w14:paraId="403A1103" w14:textId="77777777">
        <w:trPr>
          <w:trHeight w:val="220"/>
        </w:trPr>
        <w:tc>
          <w:tcPr>
            <w:tcW w:w="2790" w:type="dxa"/>
            <w:tcBorders>
              <w:top w:val="nil"/>
              <w:left w:val="single" w:sz="8" w:space="0" w:color="7F9DB9"/>
              <w:bottom w:val="single" w:sz="8" w:space="0" w:color="7F9DB9"/>
              <w:right w:val="single" w:sz="8" w:space="0" w:color="7F9DB9"/>
            </w:tcBorders>
            <w:shd w:val="clear" w:color="auto" w:fill="FFFFFF"/>
          </w:tcPr>
          <w:p w14:paraId="3F569E7E"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Communication with Doctors</w:t>
            </w:r>
          </w:p>
        </w:tc>
        <w:tc>
          <w:tcPr>
            <w:tcW w:w="3150" w:type="dxa"/>
            <w:tcBorders>
              <w:top w:val="nil"/>
              <w:left w:val="nil"/>
              <w:bottom w:val="single" w:sz="8" w:space="0" w:color="7F9DB9"/>
              <w:right w:val="single" w:sz="8" w:space="0" w:color="7F9DB9"/>
            </w:tcBorders>
            <w:shd w:val="clear" w:color="auto" w:fill="FFFFFF"/>
          </w:tcPr>
          <w:p w14:paraId="790B0C08"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87.85 percent</w:t>
            </w:r>
          </w:p>
        </w:tc>
        <w:tc>
          <w:tcPr>
            <w:tcW w:w="2070" w:type="dxa"/>
            <w:tcBorders>
              <w:top w:val="nil"/>
              <w:left w:val="nil"/>
              <w:bottom w:val="single" w:sz="8" w:space="0" w:color="7F9DB9"/>
              <w:right w:val="single" w:sz="8" w:space="0" w:color="7F9DB9"/>
            </w:tcBorders>
            <w:shd w:val="clear" w:color="auto" w:fill="FFFFFF"/>
          </w:tcPr>
          <w:p w14:paraId="37D97AF4"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79.72 percent</w:t>
            </w:r>
          </w:p>
        </w:tc>
        <w:tc>
          <w:tcPr>
            <w:tcW w:w="1890" w:type="dxa"/>
            <w:tcBorders>
              <w:top w:val="nil"/>
              <w:left w:val="nil"/>
              <w:bottom w:val="single" w:sz="8" w:space="0" w:color="7F9DB9"/>
              <w:right w:val="single" w:sz="8" w:space="0" w:color="7F9DB9"/>
            </w:tcBorders>
            <w:shd w:val="clear" w:color="auto" w:fill="FFFFFF"/>
          </w:tcPr>
          <w:p w14:paraId="2D4EB9C9"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19.03 percent</w:t>
            </w:r>
          </w:p>
        </w:tc>
      </w:tr>
      <w:tr w:rsidR="00030A10" w14:paraId="32A35AB3" w14:textId="77777777">
        <w:trPr>
          <w:trHeight w:val="180"/>
        </w:trPr>
        <w:tc>
          <w:tcPr>
            <w:tcW w:w="2790" w:type="dxa"/>
            <w:tcBorders>
              <w:top w:val="nil"/>
              <w:left w:val="single" w:sz="8" w:space="0" w:color="7F9DB9"/>
              <w:bottom w:val="single" w:sz="8" w:space="0" w:color="7F9DB9"/>
              <w:right w:val="single" w:sz="8" w:space="0" w:color="7F9DB9"/>
            </w:tcBorders>
            <w:shd w:val="clear" w:color="auto" w:fill="FFFFFF"/>
          </w:tcPr>
          <w:p w14:paraId="0EAB746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Responsiveness of Hospital Staff</w:t>
            </w:r>
          </w:p>
        </w:tc>
        <w:tc>
          <w:tcPr>
            <w:tcW w:w="3150" w:type="dxa"/>
            <w:tcBorders>
              <w:top w:val="nil"/>
              <w:left w:val="nil"/>
              <w:bottom w:val="single" w:sz="8" w:space="0" w:color="7F9DB9"/>
              <w:right w:val="single" w:sz="8" w:space="0" w:color="7F9DB9"/>
            </w:tcBorders>
            <w:shd w:val="clear" w:color="auto" w:fill="FFFFFF"/>
          </w:tcPr>
          <w:p w14:paraId="629CBAB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81.29 percent</w:t>
            </w:r>
          </w:p>
        </w:tc>
        <w:tc>
          <w:tcPr>
            <w:tcW w:w="2070" w:type="dxa"/>
            <w:tcBorders>
              <w:top w:val="nil"/>
              <w:left w:val="nil"/>
              <w:bottom w:val="single" w:sz="8" w:space="0" w:color="7F9DB9"/>
              <w:right w:val="single" w:sz="8" w:space="0" w:color="7F9DB9"/>
            </w:tcBorders>
            <w:shd w:val="clear" w:color="auto" w:fill="FFFFFF"/>
          </w:tcPr>
          <w:p w14:paraId="31B362D5"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65.95 percent</w:t>
            </w:r>
          </w:p>
        </w:tc>
        <w:tc>
          <w:tcPr>
            <w:tcW w:w="1890" w:type="dxa"/>
            <w:tcBorders>
              <w:top w:val="nil"/>
              <w:left w:val="nil"/>
              <w:bottom w:val="single" w:sz="8" w:space="0" w:color="7F9DB9"/>
              <w:right w:val="single" w:sz="8" w:space="0" w:color="7F9DB9"/>
            </w:tcBorders>
            <w:shd w:val="clear" w:color="auto" w:fill="FFFFFF"/>
          </w:tcPr>
          <w:p w14:paraId="49E35E3E"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25.71 percent</w:t>
            </w:r>
          </w:p>
        </w:tc>
      </w:tr>
      <w:tr w:rsidR="00030A10" w14:paraId="786F12B4" w14:textId="77777777">
        <w:trPr>
          <w:trHeight w:val="220"/>
        </w:trPr>
        <w:tc>
          <w:tcPr>
            <w:tcW w:w="2790" w:type="dxa"/>
            <w:tcBorders>
              <w:top w:val="nil"/>
              <w:left w:val="single" w:sz="8" w:space="0" w:color="7F9DB9"/>
              <w:bottom w:val="single" w:sz="8" w:space="0" w:color="7F9DB9"/>
              <w:right w:val="single" w:sz="8" w:space="0" w:color="7F9DB9"/>
            </w:tcBorders>
            <w:shd w:val="clear" w:color="auto" w:fill="FFFFFF"/>
          </w:tcPr>
          <w:p w14:paraId="3FDB4744"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Communication about Medicines</w:t>
            </w:r>
          </w:p>
        </w:tc>
        <w:tc>
          <w:tcPr>
            <w:tcW w:w="3150" w:type="dxa"/>
            <w:tcBorders>
              <w:top w:val="nil"/>
              <w:left w:val="nil"/>
              <w:bottom w:val="single" w:sz="8" w:space="0" w:color="7F9DB9"/>
              <w:right w:val="single" w:sz="8" w:space="0" w:color="7F9DB9"/>
            </w:tcBorders>
            <w:shd w:val="clear" w:color="auto" w:fill="FFFFFF"/>
          </w:tcPr>
          <w:p w14:paraId="5A49C50F"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74.31 percent</w:t>
            </w:r>
          </w:p>
        </w:tc>
        <w:tc>
          <w:tcPr>
            <w:tcW w:w="2070" w:type="dxa"/>
            <w:tcBorders>
              <w:top w:val="nil"/>
              <w:left w:val="nil"/>
              <w:bottom w:val="single" w:sz="8" w:space="0" w:color="7F9DB9"/>
              <w:right w:val="single" w:sz="8" w:space="0" w:color="7F9DB9"/>
            </w:tcBorders>
            <w:shd w:val="clear" w:color="auto" w:fill="FFFFFF"/>
          </w:tcPr>
          <w:p w14:paraId="5B19A39E"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63.59 percent</w:t>
            </w:r>
          </w:p>
        </w:tc>
        <w:tc>
          <w:tcPr>
            <w:tcW w:w="1890" w:type="dxa"/>
            <w:tcBorders>
              <w:top w:val="nil"/>
              <w:left w:val="nil"/>
              <w:bottom w:val="single" w:sz="8" w:space="0" w:color="7F9DB9"/>
              <w:right w:val="single" w:sz="8" w:space="0" w:color="7F9DB9"/>
            </w:tcBorders>
            <w:shd w:val="clear" w:color="auto" w:fill="FFFFFF"/>
          </w:tcPr>
          <w:p w14:paraId="01A6D612"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10.62 percent</w:t>
            </w:r>
          </w:p>
        </w:tc>
      </w:tr>
      <w:tr w:rsidR="00030A10" w14:paraId="24596CD3" w14:textId="77777777">
        <w:trPr>
          <w:trHeight w:val="340"/>
        </w:trPr>
        <w:tc>
          <w:tcPr>
            <w:tcW w:w="2790" w:type="dxa"/>
            <w:tcBorders>
              <w:top w:val="nil"/>
              <w:left w:val="single" w:sz="8" w:space="0" w:color="7F9DB9"/>
              <w:bottom w:val="single" w:sz="8" w:space="0" w:color="7F9DB9"/>
              <w:right w:val="single" w:sz="8" w:space="0" w:color="7F9DB9"/>
            </w:tcBorders>
            <w:shd w:val="clear" w:color="auto" w:fill="FFFFFF"/>
          </w:tcPr>
          <w:p w14:paraId="582D7D00"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Cleanliness and Quietness of Hospital Environment</w:t>
            </w:r>
          </w:p>
        </w:tc>
        <w:tc>
          <w:tcPr>
            <w:tcW w:w="3150" w:type="dxa"/>
            <w:tcBorders>
              <w:top w:val="nil"/>
              <w:left w:val="nil"/>
              <w:bottom w:val="single" w:sz="8" w:space="0" w:color="7F9DB9"/>
              <w:right w:val="single" w:sz="8" w:space="0" w:color="7F9DB9"/>
            </w:tcBorders>
            <w:shd w:val="clear" w:color="auto" w:fill="FFFFFF"/>
          </w:tcPr>
          <w:p w14:paraId="642146E2"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79.41 percent</w:t>
            </w:r>
          </w:p>
        </w:tc>
        <w:tc>
          <w:tcPr>
            <w:tcW w:w="2070" w:type="dxa"/>
            <w:tcBorders>
              <w:top w:val="nil"/>
              <w:left w:val="nil"/>
              <w:bottom w:val="single" w:sz="8" w:space="0" w:color="7F9DB9"/>
              <w:right w:val="single" w:sz="8" w:space="0" w:color="7F9DB9"/>
            </w:tcBorders>
            <w:shd w:val="clear" w:color="auto" w:fill="FFFFFF"/>
          </w:tcPr>
          <w:p w14:paraId="6BA93CCB"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65.46 percent</w:t>
            </w:r>
          </w:p>
        </w:tc>
        <w:tc>
          <w:tcPr>
            <w:tcW w:w="1890" w:type="dxa"/>
            <w:tcBorders>
              <w:top w:val="nil"/>
              <w:left w:val="nil"/>
              <w:bottom w:val="single" w:sz="8" w:space="0" w:color="7F9DB9"/>
              <w:right w:val="single" w:sz="8" w:space="0" w:color="7F9DB9"/>
            </w:tcBorders>
            <w:shd w:val="clear" w:color="auto" w:fill="FFFFFF"/>
          </w:tcPr>
          <w:p w14:paraId="568E18C7"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5.89 percent</w:t>
            </w:r>
          </w:p>
        </w:tc>
      </w:tr>
      <w:tr w:rsidR="00030A10" w14:paraId="2918F1A2" w14:textId="77777777">
        <w:trPr>
          <w:trHeight w:val="200"/>
        </w:trPr>
        <w:tc>
          <w:tcPr>
            <w:tcW w:w="2790" w:type="dxa"/>
            <w:tcBorders>
              <w:top w:val="nil"/>
              <w:left w:val="single" w:sz="8" w:space="0" w:color="7F9DB9"/>
              <w:bottom w:val="single" w:sz="8" w:space="0" w:color="7F9DB9"/>
              <w:right w:val="single" w:sz="8" w:space="0" w:color="7F9DB9"/>
            </w:tcBorders>
            <w:shd w:val="clear" w:color="auto" w:fill="FFFFFF"/>
          </w:tcPr>
          <w:p w14:paraId="15B0AF06"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Discharge Information</w:t>
            </w:r>
          </w:p>
        </w:tc>
        <w:tc>
          <w:tcPr>
            <w:tcW w:w="3150" w:type="dxa"/>
            <w:tcBorders>
              <w:top w:val="nil"/>
              <w:left w:val="nil"/>
              <w:bottom w:val="single" w:sz="8" w:space="0" w:color="7F9DB9"/>
              <w:right w:val="single" w:sz="8" w:space="0" w:color="7F9DB9"/>
            </w:tcBorders>
            <w:shd w:val="clear" w:color="auto" w:fill="FFFFFF"/>
          </w:tcPr>
          <w:p w14:paraId="363740E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91.95 percent</w:t>
            </w:r>
          </w:p>
        </w:tc>
        <w:tc>
          <w:tcPr>
            <w:tcW w:w="2070" w:type="dxa"/>
            <w:tcBorders>
              <w:top w:val="nil"/>
              <w:left w:val="nil"/>
              <w:bottom w:val="single" w:sz="8" w:space="0" w:color="7F9DB9"/>
              <w:right w:val="single" w:sz="8" w:space="0" w:color="7F9DB9"/>
            </w:tcBorders>
            <w:shd w:val="clear" w:color="auto" w:fill="FFFFFF"/>
          </w:tcPr>
          <w:p w14:paraId="00C117CA"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87.12 percent</w:t>
            </w:r>
          </w:p>
        </w:tc>
        <w:tc>
          <w:tcPr>
            <w:tcW w:w="1890" w:type="dxa"/>
            <w:tcBorders>
              <w:top w:val="nil"/>
              <w:left w:val="nil"/>
              <w:bottom w:val="single" w:sz="8" w:space="0" w:color="7F9DB9"/>
              <w:right w:val="single" w:sz="8" w:space="0" w:color="7F9DB9"/>
            </w:tcBorders>
            <w:shd w:val="clear" w:color="auto" w:fill="FFFFFF"/>
          </w:tcPr>
          <w:p w14:paraId="0ABA534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66.78 percent</w:t>
            </w:r>
          </w:p>
        </w:tc>
      </w:tr>
      <w:tr w:rsidR="00030A10" w14:paraId="671BE5B0" w14:textId="77777777">
        <w:trPr>
          <w:trHeight w:val="260"/>
        </w:trPr>
        <w:tc>
          <w:tcPr>
            <w:tcW w:w="2790" w:type="dxa"/>
            <w:tcBorders>
              <w:top w:val="nil"/>
              <w:left w:val="single" w:sz="8" w:space="0" w:color="7F9DB9"/>
              <w:bottom w:val="single" w:sz="8" w:space="0" w:color="7F9DB9"/>
              <w:right w:val="single" w:sz="8" w:space="0" w:color="7F9DB9"/>
            </w:tcBorders>
            <w:shd w:val="clear" w:color="auto" w:fill="FFFFFF"/>
          </w:tcPr>
          <w:p w14:paraId="3CFA8CFC"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3-Item Care Transition</w:t>
            </w:r>
          </w:p>
        </w:tc>
        <w:tc>
          <w:tcPr>
            <w:tcW w:w="3150" w:type="dxa"/>
            <w:tcBorders>
              <w:top w:val="nil"/>
              <w:left w:val="nil"/>
              <w:bottom w:val="single" w:sz="8" w:space="0" w:color="7F9DB9"/>
              <w:right w:val="single" w:sz="8" w:space="0" w:color="7F9DB9"/>
            </w:tcBorders>
            <w:shd w:val="clear" w:color="auto" w:fill="FFFFFF"/>
          </w:tcPr>
          <w:p w14:paraId="72FF796C"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63.11 percent</w:t>
            </w:r>
          </w:p>
        </w:tc>
        <w:tc>
          <w:tcPr>
            <w:tcW w:w="2070" w:type="dxa"/>
            <w:tcBorders>
              <w:top w:val="nil"/>
              <w:left w:val="nil"/>
              <w:bottom w:val="single" w:sz="8" w:space="0" w:color="7F9DB9"/>
              <w:right w:val="single" w:sz="8" w:space="0" w:color="7F9DB9"/>
            </w:tcBorders>
            <w:shd w:val="clear" w:color="auto" w:fill="FFFFFF"/>
          </w:tcPr>
          <w:p w14:paraId="4DE20C89"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51.69 percent</w:t>
            </w:r>
          </w:p>
        </w:tc>
        <w:tc>
          <w:tcPr>
            <w:tcW w:w="1890" w:type="dxa"/>
            <w:tcBorders>
              <w:top w:val="nil"/>
              <w:left w:val="nil"/>
              <w:bottom w:val="single" w:sz="8" w:space="0" w:color="7F9DB9"/>
              <w:right w:val="single" w:sz="8" w:space="0" w:color="7F9DB9"/>
            </w:tcBorders>
            <w:shd w:val="clear" w:color="auto" w:fill="FFFFFF"/>
          </w:tcPr>
          <w:p w14:paraId="7407B79D"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6.84 percent</w:t>
            </w:r>
          </w:p>
        </w:tc>
      </w:tr>
      <w:tr w:rsidR="00030A10" w14:paraId="3374EEDD" w14:textId="77777777">
        <w:trPr>
          <w:trHeight w:val="160"/>
        </w:trPr>
        <w:tc>
          <w:tcPr>
            <w:tcW w:w="2790" w:type="dxa"/>
            <w:tcBorders>
              <w:top w:val="nil"/>
              <w:left w:val="single" w:sz="8" w:space="0" w:color="7F9DB9"/>
              <w:bottom w:val="single" w:sz="8" w:space="0" w:color="7F9DB9"/>
              <w:right w:val="single" w:sz="8" w:space="0" w:color="7F9DB9"/>
            </w:tcBorders>
            <w:shd w:val="clear" w:color="auto" w:fill="FFFFFF"/>
          </w:tcPr>
          <w:p w14:paraId="34478142"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Overall Rating of Hospital</w:t>
            </w:r>
          </w:p>
        </w:tc>
        <w:tc>
          <w:tcPr>
            <w:tcW w:w="3150" w:type="dxa"/>
            <w:tcBorders>
              <w:top w:val="nil"/>
              <w:left w:val="nil"/>
              <w:bottom w:val="single" w:sz="8" w:space="0" w:color="7F9DB9"/>
              <w:right w:val="single" w:sz="8" w:space="0" w:color="7F9DB9"/>
            </w:tcBorders>
            <w:shd w:val="clear" w:color="auto" w:fill="FFFFFF"/>
          </w:tcPr>
          <w:p w14:paraId="36367F2B"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85.18 percent</w:t>
            </w:r>
          </w:p>
        </w:tc>
        <w:tc>
          <w:tcPr>
            <w:tcW w:w="2070" w:type="dxa"/>
            <w:tcBorders>
              <w:top w:val="nil"/>
              <w:left w:val="nil"/>
              <w:bottom w:val="single" w:sz="8" w:space="0" w:color="7F9DB9"/>
              <w:right w:val="single" w:sz="8" w:space="0" w:color="7F9DB9"/>
            </w:tcBorders>
            <w:shd w:val="clear" w:color="auto" w:fill="FFFFFF"/>
          </w:tcPr>
          <w:p w14:paraId="63B96551"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71.37 percent</w:t>
            </w:r>
          </w:p>
        </w:tc>
        <w:tc>
          <w:tcPr>
            <w:tcW w:w="1890" w:type="dxa"/>
            <w:tcBorders>
              <w:top w:val="nil"/>
              <w:left w:val="nil"/>
              <w:bottom w:val="single" w:sz="8" w:space="0" w:color="7F9DB9"/>
              <w:right w:val="single" w:sz="8" w:space="0" w:color="7F9DB9"/>
            </w:tcBorders>
            <w:shd w:val="clear" w:color="auto" w:fill="FFFFFF"/>
          </w:tcPr>
          <w:p w14:paraId="5A70C651"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19.09 percent</w:t>
            </w:r>
          </w:p>
        </w:tc>
      </w:tr>
      <w:tr w:rsidR="00030A10" w14:paraId="1CC43E78" w14:textId="77777777">
        <w:trPr>
          <w:trHeight w:val="40"/>
        </w:trPr>
        <w:tc>
          <w:tcPr>
            <w:tcW w:w="2790" w:type="dxa"/>
            <w:tcBorders>
              <w:top w:val="nil"/>
              <w:left w:val="nil"/>
              <w:bottom w:val="single" w:sz="24" w:space="0" w:color="7F9DB9"/>
              <w:right w:val="nil"/>
            </w:tcBorders>
            <w:vAlign w:val="center"/>
          </w:tcPr>
          <w:p w14:paraId="27FC5B2B" w14:textId="77777777" w:rsidR="00030A10" w:rsidRDefault="00030A10">
            <w:pPr>
              <w:spacing w:before="0" w:after="0"/>
              <w:ind w:firstLine="160"/>
              <w:rPr>
                <w:rFonts w:ascii="Verdana" w:eastAsia="Verdana" w:hAnsi="Verdana" w:cs="Verdana"/>
                <w:color w:val="333333"/>
                <w:sz w:val="16"/>
                <w:szCs w:val="16"/>
              </w:rPr>
            </w:pPr>
          </w:p>
        </w:tc>
        <w:tc>
          <w:tcPr>
            <w:tcW w:w="3150" w:type="dxa"/>
            <w:tcBorders>
              <w:top w:val="nil"/>
              <w:left w:val="nil"/>
              <w:bottom w:val="single" w:sz="24" w:space="0" w:color="7F9DB9"/>
              <w:right w:val="nil"/>
            </w:tcBorders>
          </w:tcPr>
          <w:p w14:paraId="17425405" w14:textId="77777777" w:rsidR="00030A10" w:rsidRDefault="00030A10">
            <w:pPr>
              <w:spacing w:before="0" w:after="0"/>
              <w:rPr>
                <w:sz w:val="20"/>
                <w:szCs w:val="20"/>
              </w:rPr>
            </w:pPr>
          </w:p>
        </w:tc>
        <w:tc>
          <w:tcPr>
            <w:tcW w:w="2070" w:type="dxa"/>
            <w:tcBorders>
              <w:top w:val="nil"/>
              <w:left w:val="nil"/>
              <w:bottom w:val="single" w:sz="24" w:space="0" w:color="7F9DB9"/>
              <w:right w:val="nil"/>
            </w:tcBorders>
          </w:tcPr>
          <w:p w14:paraId="669DFDA9" w14:textId="77777777" w:rsidR="00030A10" w:rsidRDefault="00030A10">
            <w:pPr>
              <w:spacing w:before="0" w:after="0"/>
              <w:rPr>
                <w:sz w:val="20"/>
                <w:szCs w:val="20"/>
              </w:rPr>
            </w:pPr>
          </w:p>
        </w:tc>
        <w:tc>
          <w:tcPr>
            <w:tcW w:w="1890" w:type="dxa"/>
            <w:tcBorders>
              <w:top w:val="nil"/>
              <w:left w:val="nil"/>
              <w:bottom w:val="single" w:sz="24" w:space="0" w:color="7F9DB9"/>
              <w:right w:val="nil"/>
            </w:tcBorders>
          </w:tcPr>
          <w:p w14:paraId="56191EED" w14:textId="77777777" w:rsidR="00030A10" w:rsidRDefault="00030A10">
            <w:pPr>
              <w:spacing w:before="0" w:after="0"/>
              <w:rPr>
                <w:sz w:val="20"/>
                <w:szCs w:val="20"/>
              </w:rPr>
            </w:pPr>
          </w:p>
        </w:tc>
      </w:tr>
    </w:tbl>
    <w:p w14:paraId="2F9D494D" w14:textId="77777777" w:rsidR="00030A10" w:rsidRDefault="00556411">
      <w:pPr>
        <w:spacing w:before="0"/>
        <w:rPr>
          <w:sz w:val="20"/>
          <w:szCs w:val="20"/>
        </w:rPr>
      </w:pPr>
      <w:r>
        <w:rPr>
          <w:sz w:val="20"/>
          <w:szCs w:val="20"/>
        </w:rPr>
        <w:t>*The Person and Community Engagement performance standards displayed in this table were calculated using four quarters of calendar year 2018 data, and published in the CMS Inpatient Prospective Payment System FFY 20 Final Rule.</w:t>
      </w:r>
    </w:p>
    <w:tbl>
      <w:tblPr>
        <w:tblStyle w:val="a4"/>
        <w:tblW w:w="9900" w:type="dxa"/>
        <w:tblLayout w:type="fixed"/>
        <w:tblLook w:val="0000" w:firstRow="0" w:lastRow="0" w:firstColumn="0" w:lastColumn="0" w:noHBand="0" w:noVBand="0"/>
      </w:tblPr>
      <w:tblGrid>
        <w:gridCol w:w="2790"/>
        <w:gridCol w:w="3150"/>
        <w:gridCol w:w="2070"/>
        <w:gridCol w:w="1890"/>
      </w:tblGrid>
      <w:tr w:rsidR="00030A10" w14:paraId="64F5DF68" w14:textId="77777777">
        <w:trPr>
          <w:trHeight w:val="300"/>
        </w:trPr>
        <w:tc>
          <w:tcPr>
            <w:tcW w:w="2790" w:type="dxa"/>
            <w:tcBorders>
              <w:top w:val="single" w:sz="24" w:space="0" w:color="7F9DB9"/>
              <w:left w:val="nil"/>
              <w:bottom w:val="single" w:sz="8" w:space="0" w:color="7F9DB9"/>
              <w:right w:val="nil"/>
            </w:tcBorders>
            <w:vAlign w:val="center"/>
          </w:tcPr>
          <w:p w14:paraId="4011E24B" w14:textId="77777777" w:rsidR="00030A10" w:rsidRDefault="00556411">
            <w:pPr>
              <w:spacing w:before="0" w:after="0"/>
              <w:rPr>
                <w:rFonts w:ascii="Verdana" w:eastAsia="Verdana" w:hAnsi="Verdana" w:cs="Verdana"/>
                <w:color w:val="333333"/>
              </w:rPr>
            </w:pPr>
            <w:r>
              <w:rPr>
                <w:rFonts w:ascii="Verdana" w:eastAsia="Verdana" w:hAnsi="Verdana" w:cs="Verdana"/>
                <w:b/>
                <w:color w:val="333333"/>
              </w:rPr>
              <w:t xml:space="preserve">Safety Domain* </w:t>
            </w:r>
          </w:p>
        </w:tc>
        <w:tc>
          <w:tcPr>
            <w:tcW w:w="3150" w:type="dxa"/>
            <w:tcBorders>
              <w:top w:val="single" w:sz="24" w:space="0" w:color="7F9DB9"/>
              <w:left w:val="nil"/>
              <w:bottom w:val="single" w:sz="8" w:space="0" w:color="7F9DB9"/>
              <w:right w:val="nil"/>
            </w:tcBorders>
          </w:tcPr>
          <w:p w14:paraId="0923307D" w14:textId="77777777" w:rsidR="00030A10" w:rsidRDefault="00030A10">
            <w:pPr>
              <w:spacing w:before="0" w:after="0"/>
              <w:rPr>
                <w:rFonts w:ascii="Verdana" w:eastAsia="Verdana" w:hAnsi="Verdana" w:cs="Verdana"/>
                <w:color w:val="333333"/>
                <w:sz w:val="28"/>
                <w:szCs w:val="28"/>
              </w:rPr>
            </w:pPr>
          </w:p>
        </w:tc>
        <w:tc>
          <w:tcPr>
            <w:tcW w:w="2070" w:type="dxa"/>
            <w:tcBorders>
              <w:top w:val="single" w:sz="24" w:space="0" w:color="7F9DB9"/>
              <w:left w:val="nil"/>
              <w:bottom w:val="single" w:sz="8" w:space="0" w:color="7F9DB9"/>
              <w:right w:val="nil"/>
            </w:tcBorders>
          </w:tcPr>
          <w:p w14:paraId="2607EBB3" w14:textId="77777777" w:rsidR="00030A10" w:rsidRDefault="00030A10">
            <w:pPr>
              <w:spacing w:before="0" w:after="0"/>
              <w:rPr>
                <w:sz w:val="20"/>
                <w:szCs w:val="20"/>
              </w:rPr>
            </w:pPr>
          </w:p>
        </w:tc>
        <w:tc>
          <w:tcPr>
            <w:tcW w:w="1890" w:type="dxa"/>
            <w:tcBorders>
              <w:top w:val="single" w:sz="24" w:space="0" w:color="7F9DB9"/>
              <w:left w:val="nil"/>
              <w:bottom w:val="single" w:sz="8" w:space="0" w:color="7F9DB9"/>
              <w:right w:val="nil"/>
            </w:tcBorders>
          </w:tcPr>
          <w:p w14:paraId="18EA0606" w14:textId="77777777" w:rsidR="00030A10" w:rsidRDefault="00030A10">
            <w:pPr>
              <w:spacing w:before="0" w:after="0"/>
              <w:rPr>
                <w:sz w:val="20"/>
                <w:szCs w:val="20"/>
              </w:rPr>
            </w:pPr>
          </w:p>
        </w:tc>
      </w:tr>
      <w:tr w:rsidR="00030A10" w14:paraId="565604E0" w14:textId="77777777">
        <w:trPr>
          <w:trHeight w:val="240"/>
        </w:trPr>
        <w:tc>
          <w:tcPr>
            <w:tcW w:w="2790" w:type="dxa"/>
            <w:tcBorders>
              <w:top w:val="single" w:sz="8" w:space="0" w:color="7F9DB9"/>
              <w:left w:val="single" w:sz="8" w:space="0" w:color="7F9DB9"/>
              <w:bottom w:val="single" w:sz="8" w:space="0" w:color="7F9DB9"/>
              <w:right w:val="single" w:sz="8" w:space="0" w:color="7F9DB9"/>
            </w:tcBorders>
            <w:shd w:val="clear" w:color="auto" w:fill="E9F6FF"/>
          </w:tcPr>
          <w:p w14:paraId="478880B5" w14:textId="77777777" w:rsidR="00030A10" w:rsidRDefault="00556411">
            <w:pPr>
              <w:spacing w:before="0" w:after="0"/>
              <w:ind w:firstLine="201"/>
              <w:rPr>
                <w:rFonts w:ascii="Verdana" w:eastAsia="Verdana" w:hAnsi="Verdana" w:cs="Verdana"/>
                <w:color w:val="333333"/>
                <w:sz w:val="20"/>
                <w:szCs w:val="20"/>
              </w:rPr>
            </w:pPr>
            <w:r>
              <w:rPr>
                <w:rFonts w:ascii="Verdana" w:eastAsia="Verdana" w:hAnsi="Verdana" w:cs="Verdana"/>
                <w:b/>
                <w:color w:val="333333"/>
                <w:sz w:val="20"/>
                <w:szCs w:val="20"/>
              </w:rPr>
              <w:t>Measure Short ID</w:t>
            </w:r>
          </w:p>
        </w:tc>
        <w:tc>
          <w:tcPr>
            <w:tcW w:w="3150" w:type="dxa"/>
            <w:tcBorders>
              <w:top w:val="single" w:sz="8" w:space="0" w:color="7F9DB9"/>
              <w:left w:val="nil"/>
              <w:bottom w:val="single" w:sz="8" w:space="0" w:color="7F9DB9"/>
              <w:right w:val="single" w:sz="8" w:space="0" w:color="7F9DB9"/>
            </w:tcBorders>
            <w:shd w:val="clear" w:color="auto" w:fill="DEEAF6"/>
          </w:tcPr>
          <w:p w14:paraId="5ABE771E" w14:textId="77777777" w:rsidR="00030A10" w:rsidRDefault="00556411">
            <w:pPr>
              <w:spacing w:before="0" w:after="0"/>
              <w:ind w:firstLine="201"/>
              <w:rPr>
                <w:rFonts w:ascii="Verdana" w:eastAsia="Verdana" w:hAnsi="Verdana" w:cs="Verdana"/>
                <w:color w:val="333333"/>
                <w:sz w:val="20"/>
                <w:szCs w:val="20"/>
              </w:rPr>
            </w:pPr>
            <w:r>
              <w:rPr>
                <w:rFonts w:ascii="Verdana" w:eastAsia="Verdana" w:hAnsi="Verdana" w:cs="Verdana"/>
                <w:b/>
                <w:color w:val="333333"/>
                <w:sz w:val="20"/>
                <w:szCs w:val="20"/>
              </w:rPr>
              <w:t>Measure Description</w:t>
            </w:r>
          </w:p>
        </w:tc>
        <w:tc>
          <w:tcPr>
            <w:tcW w:w="2070" w:type="dxa"/>
            <w:tcBorders>
              <w:top w:val="single" w:sz="8" w:space="0" w:color="7F9DB9"/>
              <w:left w:val="nil"/>
              <w:bottom w:val="single" w:sz="8" w:space="0" w:color="7F9DB9"/>
              <w:right w:val="single" w:sz="8" w:space="0" w:color="7F9DB9"/>
            </w:tcBorders>
            <w:shd w:val="clear" w:color="auto" w:fill="E9F6FF"/>
          </w:tcPr>
          <w:p w14:paraId="57ECB228" w14:textId="77777777" w:rsidR="00030A10" w:rsidRDefault="00556411">
            <w:pPr>
              <w:spacing w:before="0" w:after="0"/>
              <w:ind w:firstLine="201"/>
              <w:rPr>
                <w:rFonts w:ascii="Verdana" w:eastAsia="Verdana" w:hAnsi="Verdana" w:cs="Verdana"/>
                <w:color w:val="333333"/>
                <w:sz w:val="20"/>
                <w:szCs w:val="20"/>
              </w:rPr>
            </w:pPr>
            <w:r>
              <w:rPr>
                <w:rFonts w:ascii="Verdana" w:eastAsia="Verdana" w:hAnsi="Verdana" w:cs="Verdana"/>
                <w:b/>
                <w:color w:val="333333"/>
                <w:sz w:val="20"/>
                <w:szCs w:val="20"/>
              </w:rPr>
              <w:t>Benchmark</w:t>
            </w:r>
          </w:p>
        </w:tc>
        <w:tc>
          <w:tcPr>
            <w:tcW w:w="1890" w:type="dxa"/>
            <w:tcBorders>
              <w:top w:val="single" w:sz="8" w:space="0" w:color="7F9DB9"/>
              <w:left w:val="nil"/>
              <w:bottom w:val="single" w:sz="8" w:space="0" w:color="7F9DB9"/>
              <w:right w:val="single" w:sz="8" w:space="0" w:color="7F9DB9"/>
            </w:tcBorders>
            <w:shd w:val="clear" w:color="auto" w:fill="E9F6FF"/>
          </w:tcPr>
          <w:p w14:paraId="2E7B96D4" w14:textId="77777777" w:rsidR="00030A10" w:rsidRDefault="00556411">
            <w:pPr>
              <w:spacing w:before="0" w:after="0"/>
              <w:ind w:firstLine="201"/>
              <w:rPr>
                <w:rFonts w:ascii="Verdana" w:eastAsia="Verdana" w:hAnsi="Verdana" w:cs="Verdana"/>
                <w:color w:val="333333"/>
                <w:sz w:val="20"/>
                <w:szCs w:val="20"/>
              </w:rPr>
            </w:pPr>
            <w:r>
              <w:rPr>
                <w:rFonts w:ascii="Verdana" w:eastAsia="Verdana" w:hAnsi="Verdana" w:cs="Verdana"/>
                <w:b/>
                <w:color w:val="333333"/>
                <w:sz w:val="20"/>
                <w:szCs w:val="20"/>
              </w:rPr>
              <w:t>Achievement Threshold</w:t>
            </w:r>
          </w:p>
        </w:tc>
      </w:tr>
      <w:tr w:rsidR="00030A10" w14:paraId="404BDDB1" w14:textId="77777777">
        <w:trPr>
          <w:trHeight w:val="400"/>
        </w:trPr>
        <w:tc>
          <w:tcPr>
            <w:tcW w:w="2790" w:type="dxa"/>
            <w:tcBorders>
              <w:top w:val="nil"/>
              <w:left w:val="single" w:sz="8" w:space="0" w:color="7F9DB9"/>
              <w:bottom w:val="single" w:sz="8" w:space="0" w:color="7F9DB9"/>
              <w:right w:val="single" w:sz="8" w:space="0" w:color="7F9DB9"/>
            </w:tcBorders>
            <w:shd w:val="clear" w:color="auto" w:fill="FFFFFF"/>
          </w:tcPr>
          <w:p w14:paraId="3D05F89D"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CAUTI</w:t>
            </w:r>
          </w:p>
        </w:tc>
        <w:tc>
          <w:tcPr>
            <w:tcW w:w="3150" w:type="dxa"/>
            <w:tcBorders>
              <w:top w:val="nil"/>
              <w:left w:val="nil"/>
              <w:bottom w:val="single" w:sz="8" w:space="0" w:color="7F9DB9"/>
              <w:right w:val="single" w:sz="8" w:space="0" w:color="7F9DB9"/>
            </w:tcBorders>
            <w:shd w:val="clear" w:color="auto" w:fill="FFFFFF"/>
          </w:tcPr>
          <w:p w14:paraId="291F86D0"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Catheter-Associated Urinary Tract Infection</w:t>
            </w:r>
          </w:p>
        </w:tc>
        <w:tc>
          <w:tcPr>
            <w:tcW w:w="2070" w:type="dxa"/>
            <w:tcBorders>
              <w:top w:val="nil"/>
              <w:left w:val="nil"/>
              <w:bottom w:val="single" w:sz="8" w:space="0" w:color="7F9DB9"/>
              <w:right w:val="single" w:sz="8" w:space="0" w:color="7F9DB9"/>
            </w:tcBorders>
            <w:shd w:val="clear" w:color="auto" w:fill="FFFFFF"/>
          </w:tcPr>
          <w:p w14:paraId="3983A2FE"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0.00</w:t>
            </w:r>
          </w:p>
        </w:tc>
        <w:tc>
          <w:tcPr>
            <w:tcW w:w="1890" w:type="dxa"/>
            <w:tcBorders>
              <w:top w:val="nil"/>
              <w:left w:val="nil"/>
              <w:bottom w:val="single" w:sz="8" w:space="0" w:color="7F9DB9"/>
              <w:right w:val="single" w:sz="8" w:space="0" w:color="7F9DB9"/>
            </w:tcBorders>
            <w:shd w:val="clear" w:color="auto" w:fill="FFFFFF"/>
          </w:tcPr>
          <w:p w14:paraId="0A10C46A"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0.727</w:t>
            </w:r>
          </w:p>
        </w:tc>
      </w:tr>
      <w:tr w:rsidR="00030A10" w14:paraId="3231BFD9" w14:textId="77777777">
        <w:trPr>
          <w:trHeight w:val="220"/>
        </w:trPr>
        <w:tc>
          <w:tcPr>
            <w:tcW w:w="2790" w:type="dxa"/>
            <w:tcBorders>
              <w:top w:val="nil"/>
              <w:left w:val="single" w:sz="8" w:space="0" w:color="7F9DB9"/>
              <w:bottom w:val="single" w:sz="8" w:space="0" w:color="7F9DB9"/>
              <w:right w:val="single" w:sz="8" w:space="0" w:color="7F9DB9"/>
            </w:tcBorders>
            <w:shd w:val="clear" w:color="auto" w:fill="FFFFFF"/>
          </w:tcPr>
          <w:p w14:paraId="39849835"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CDI</w:t>
            </w:r>
          </w:p>
        </w:tc>
        <w:tc>
          <w:tcPr>
            <w:tcW w:w="3150" w:type="dxa"/>
            <w:tcBorders>
              <w:top w:val="nil"/>
              <w:left w:val="nil"/>
              <w:bottom w:val="single" w:sz="8" w:space="0" w:color="7F9DB9"/>
              <w:right w:val="single" w:sz="8" w:space="0" w:color="7F9DB9"/>
            </w:tcBorders>
            <w:shd w:val="clear" w:color="auto" w:fill="FFFFFF"/>
          </w:tcPr>
          <w:p w14:paraId="2ECFF8FB"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Clostridium </w:t>
            </w:r>
            <w:r>
              <w:rPr>
                <w:rFonts w:ascii="Verdana" w:eastAsia="Verdana" w:hAnsi="Verdana" w:cs="Verdana"/>
                <w:i/>
                <w:color w:val="333333"/>
                <w:sz w:val="18"/>
                <w:szCs w:val="18"/>
              </w:rPr>
              <w:t>difficile </w:t>
            </w:r>
            <w:r>
              <w:rPr>
                <w:rFonts w:ascii="Verdana" w:eastAsia="Verdana" w:hAnsi="Verdana" w:cs="Verdana"/>
                <w:color w:val="333333"/>
                <w:sz w:val="18"/>
                <w:szCs w:val="18"/>
              </w:rPr>
              <w:t>Infection</w:t>
            </w:r>
          </w:p>
        </w:tc>
        <w:tc>
          <w:tcPr>
            <w:tcW w:w="2070" w:type="dxa"/>
            <w:tcBorders>
              <w:top w:val="nil"/>
              <w:left w:val="nil"/>
              <w:bottom w:val="single" w:sz="8" w:space="0" w:color="7F9DB9"/>
              <w:right w:val="single" w:sz="8" w:space="0" w:color="7F9DB9"/>
            </w:tcBorders>
            <w:shd w:val="clear" w:color="auto" w:fill="FFFFFF"/>
          </w:tcPr>
          <w:p w14:paraId="7B8F72D9"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0.047</w:t>
            </w:r>
          </w:p>
        </w:tc>
        <w:tc>
          <w:tcPr>
            <w:tcW w:w="1890" w:type="dxa"/>
            <w:tcBorders>
              <w:top w:val="nil"/>
              <w:left w:val="nil"/>
              <w:bottom w:val="single" w:sz="8" w:space="0" w:color="7F9DB9"/>
              <w:right w:val="single" w:sz="8" w:space="0" w:color="7F9DB9"/>
            </w:tcBorders>
            <w:shd w:val="clear" w:color="auto" w:fill="FFFFFF"/>
          </w:tcPr>
          <w:p w14:paraId="4935DB7A"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0.646</w:t>
            </w:r>
          </w:p>
        </w:tc>
      </w:tr>
      <w:tr w:rsidR="00030A10" w14:paraId="14A04DA1" w14:textId="77777777">
        <w:trPr>
          <w:trHeight w:val="300"/>
        </w:trPr>
        <w:tc>
          <w:tcPr>
            <w:tcW w:w="2790" w:type="dxa"/>
            <w:tcBorders>
              <w:top w:val="nil"/>
              <w:left w:val="single" w:sz="8" w:space="0" w:color="7F9DB9"/>
              <w:bottom w:val="single" w:sz="8" w:space="0" w:color="7F9DB9"/>
              <w:right w:val="single" w:sz="8" w:space="0" w:color="7F9DB9"/>
            </w:tcBorders>
            <w:shd w:val="clear" w:color="auto" w:fill="FFFFFF"/>
          </w:tcPr>
          <w:p w14:paraId="3999AA38"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CLABSI</w:t>
            </w:r>
          </w:p>
        </w:tc>
        <w:tc>
          <w:tcPr>
            <w:tcW w:w="3150" w:type="dxa"/>
            <w:tcBorders>
              <w:top w:val="nil"/>
              <w:left w:val="nil"/>
              <w:bottom w:val="single" w:sz="8" w:space="0" w:color="7F9DB9"/>
              <w:right w:val="single" w:sz="8" w:space="0" w:color="7F9DB9"/>
            </w:tcBorders>
            <w:shd w:val="clear" w:color="auto" w:fill="FFFFFF"/>
          </w:tcPr>
          <w:p w14:paraId="5723FDA2"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Central Line-Associated Blood Stream Infection</w:t>
            </w:r>
          </w:p>
        </w:tc>
        <w:tc>
          <w:tcPr>
            <w:tcW w:w="2070" w:type="dxa"/>
            <w:tcBorders>
              <w:top w:val="nil"/>
              <w:left w:val="nil"/>
              <w:bottom w:val="single" w:sz="8" w:space="0" w:color="7F9DB9"/>
              <w:right w:val="single" w:sz="8" w:space="0" w:color="7F9DB9"/>
            </w:tcBorders>
            <w:shd w:val="clear" w:color="auto" w:fill="FFFFFF"/>
          </w:tcPr>
          <w:p w14:paraId="1AC62125"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0.00</w:t>
            </w:r>
          </w:p>
        </w:tc>
        <w:tc>
          <w:tcPr>
            <w:tcW w:w="1890" w:type="dxa"/>
            <w:tcBorders>
              <w:top w:val="nil"/>
              <w:left w:val="nil"/>
              <w:bottom w:val="single" w:sz="8" w:space="0" w:color="7F9DB9"/>
              <w:right w:val="single" w:sz="8" w:space="0" w:color="7F9DB9"/>
            </w:tcBorders>
            <w:shd w:val="clear" w:color="auto" w:fill="FFFFFF"/>
          </w:tcPr>
          <w:p w14:paraId="3DF2547E"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0.633</w:t>
            </w:r>
          </w:p>
        </w:tc>
      </w:tr>
      <w:tr w:rsidR="00030A10" w14:paraId="20D9E4BB" w14:textId="77777777" w:rsidTr="001B1684">
        <w:trPr>
          <w:trHeight w:val="446"/>
        </w:trPr>
        <w:tc>
          <w:tcPr>
            <w:tcW w:w="2790" w:type="dxa"/>
            <w:tcBorders>
              <w:top w:val="nil"/>
              <w:left w:val="single" w:sz="8" w:space="0" w:color="7F9DB9"/>
              <w:bottom w:val="single" w:sz="8" w:space="0" w:color="7F9DB9"/>
              <w:right w:val="single" w:sz="8" w:space="0" w:color="7F9DB9"/>
            </w:tcBorders>
            <w:shd w:val="clear" w:color="auto" w:fill="FFFFFF"/>
          </w:tcPr>
          <w:p w14:paraId="64CEC385"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MRSA</w:t>
            </w:r>
          </w:p>
        </w:tc>
        <w:tc>
          <w:tcPr>
            <w:tcW w:w="3150" w:type="dxa"/>
            <w:tcBorders>
              <w:top w:val="nil"/>
              <w:left w:val="nil"/>
              <w:bottom w:val="single" w:sz="8" w:space="0" w:color="7F9DB9"/>
              <w:right w:val="single" w:sz="8" w:space="0" w:color="7F9DB9"/>
            </w:tcBorders>
            <w:shd w:val="clear" w:color="auto" w:fill="FFFFFF"/>
          </w:tcPr>
          <w:p w14:paraId="6B2FC1B2"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Methicillin-Resistant Staphylococcus</w:t>
            </w:r>
            <w:r>
              <w:rPr>
                <w:rFonts w:ascii="Verdana" w:eastAsia="Verdana" w:hAnsi="Verdana" w:cs="Verdana"/>
                <w:i/>
                <w:color w:val="333333"/>
                <w:sz w:val="18"/>
                <w:szCs w:val="18"/>
              </w:rPr>
              <w:t> aureus</w:t>
            </w:r>
          </w:p>
        </w:tc>
        <w:tc>
          <w:tcPr>
            <w:tcW w:w="2070" w:type="dxa"/>
            <w:tcBorders>
              <w:top w:val="nil"/>
              <w:left w:val="nil"/>
              <w:bottom w:val="single" w:sz="8" w:space="0" w:color="7F9DB9"/>
              <w:right w:val="single" w:sz="8" w:space="0" w:color="7F9DB9"/>
            </w:tcBorders>
            <w:shd w:val="clear" w:color="auto" w:fill="FFFFFF"/>
          </w:tcPr>
          <w:p w14:paraId="2226B796"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0.00</w:t>
            </w:r>
          </w:p>
        </w:tc>
        <w:tc>
          <w:tcPr>
            <w:tcW w:w="1890" w:type="dxa"/>
            <w:tcBorders>
              <w:top w:val="nil"/>
              <w:left w:val="nil"/>
              <w:bottom w:val="single" w:sz="8" w:space="0" w:color="7F9DB9"/>
              <w:right w:val="single" w:sz="8" w:space="0" w:color="7F9DB9"/>
            </w:tcBorders>
            <w:shd w:val="clear" w:color="auto" w:fill="FFFFFF"/>
          </w:tcPr>
          <w:p w14:paraId="425DBAF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0.748</w:t>
            </w:r>
          </w:p>
        </w:tc>
      </w:tr>
      <w:tr w:rsidR="00030A10" w14:paraId="0C8E2D8A" w14:textId="77777777" w:rsidTr="001B1684">
        <w:trPr>
          <w:trHeight w:val="248"/>
        </w:trPr>
        <w:tc>
          <w:tcPr>
            <w:tcW w:w="2790" w:type="dxa"/>
            <w:vMerge w:val="restart"/>
            <w:tcBorders>
              <w:top w:val="single" w:sz="8" w:space="0" w:color="7F9DB9"/>
              <w:left w:val="single" w:sz="8" w:space="0" w:color="7F9DB9"/>
              <w:bottom w:val="single" w:sz="4" w:space="0" w:color="auto"/>
              <w:right w:val="single" w:sz="4" w:space="0" w:color="auto"/>
            </w:tcBorders>
            <w:shd w:val="clear" w:color="auto" w:fill="FFFFFF"/>
          </w:tcPr>
          <w:p w14:paraId="6228955A" w14:textId="77777777" w:rsidR="00030A10" w:rsidRDefault="00556411" w:rsidP="00FA587C">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SSI</w:t>
            </w:r>
          </w:p>
        </w:tc>
        <w:tc>
          <w:tcPr>
            <w:tcW w:w="3150" w:type="dxa"/>
            <w:tcBorders>
              <w:top w:val="single" w:sz="8" w:space="0" w:color="7F9DB9"/>
              <w:left w:val="single" w:sz="4" w:space="0" w:color="auto"/>
              <w:bottom w:val="single" w:sz="4" w:space="0" w:color="auto"/>
              <w:right w:val="single" w:sz="4" w:space="0" w:color="auto"/>
            </w:tcBorders>
            <w:shd w:val="clear" w:color="auto" w:fill="FFFFFF"/>
          </w:tcPr>
          <w:p w14:paraId="49F6791C" w14:textId="77777777" w:rsidR="00030A10" w:rsidRDefault="00556411" w:rsidP="00FA587C">
            <w:pPr>
              <w:spacing w:before="0" w:after="0"/>
              <w:rPr>
                <w:rFonts w:ascii="Verdana" w:eastAsia="Verdana" w:hAnsi="Verdana" w:cs="Verdana"/>
                <w:color w:val="333333"/>
                <w:sz w:val="18"/>
                <w:szCs w:val="18"/>
              </w:rPr>
            </w:pPr>
            <w:r>
              <w:rPr>
                <w:rFonts w:ascii="Verdana" w:eastAsia="Verdana" w:hAnsi="Verdana" w:cs="Verdana"/>
                <w:color w:val="333333"/>
                <w:sz w:val="18"/>
                <w:szCs w:val="18"/>
              </w:rPr>
              <w:t>SSI - Abdominal Hysterectomy</w:t>
            </w:r>
          </w:p>
        </w:tc>
        <w:tc>
          <w:tcPr>
            <w:tcW w:w="2070" w:type="dxa"/>
            <w:tcBorders>
              <w:top w:val="single" w:sz="8" w:space="0" w:color="7F9DB9"/>
              <w:left w:val="single" w:sz="4" w:space="0" w:color="auto"/>
              <w:bottom w:val="single" w:sz="4" w:space="0" w:color="auto"/>
              <w:right w:val="single" w:sz="4" w:space="0" w:color="auto"/>
            </w:tcBorders>
            <w:shd w:val="clear" w:color="auto" w:fill="FFFFFF"/>
          </w:tcPr>
          <w:p w14:paraId="0F90F1BB" w14:textId="77777777" w:rsidR="00030A10" w:rsidRDefault="00556411" w:rsidP="00FA587C">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0.00</w:t>
            </w:r>
          </w:p>
        </w:tc>
        <w:tc>
          <w:tcPr>
            <w:tcW w:w="1890" w:type="dxa"/>
            <w:tcBorders>
              <w:top w:val="single" w:sz="8" w:space="0" w:color="7F9DB9"/>
              <w:left w:val="single" w:sz="4" w:space="0" w:color="auto"/>
              <w:bottom w:val="single" w:sz="4" w:space="0" w:color="auto"/>
              <w:right w:val="single" w:sz="8" w:space="0" w:color="7F9DB9"/>
            </w:tcBorders>
            <w:shd w:val="clear" w:color="auto" w:fill="FFFFFF"/>
          </w:tcPr>
          <w:p w14:paraId="46963C25" w14:textId="77777777" w:rsidR="00030A10" w:rsidRDefault="00556411" w:rsidP="00FA587C">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0.727</w:t>
            </w:r>
          </w:p>
        </w:tc>
      </w:tr>
      <w:tr w:rsidR="00030A10" w14:paraId="0C276358" w14:textId="77777777" w:rsidTr="001B1684">
        <w:trPr>
          <w:trHeight w:val="86"/>
        </w:trPr>
        <w:tc>
          <w:tcPr>
            <w:tcW w:w="2790" w:type="dxa"/>
            <w:vMerge/>
            <w:tcBorders>
              <w:top w:val="single" w:sz="4" w:space="0" w:color="auto"/>
              <w:left w:val="single" w:sz="8" w:space="0" w:color="7F9DB9"/>
              <w:bottom w:val="single" w:sz="8" w:space="0" w:color="7F9DB9"/>
              <w:right w:val="single" w:sz="4" w:space="0" w:color="auto"/>
            </w:tcBorders>
            <w:shd w:val="clear" w:color="auto" w:fill="FFFFFF"/>
          </w:tcPr>
          <w:p w14:paraId="4575AF4B" w14:textId="77777777" w:rsidR="00030A10" w:rsidRDefault="00030A10" w:rsidP="00FA587C">
            <w:pPr>
              <w:widowControl w:val="0"/>
              <w:pBdr>
                <w:top w:val="nil"/>
                <w:left w:val="nil"/>
                <w:bottom w:val="nil"/>
                <w:right w:val="nil"/>
                <w:between w:val="nil"/>
              </w:pBdr>
              <w:spacing w:before="0" w:after="0" w:line="276" w:lineRule="auto"/>
              <w:rPr>
                <w:rFonts w:ascii="Verdana" w:eastAsia="Verdana" w:hAnsi="Verdana" w:cs="Verdana"/>
                <w:color w:val="333333"/>
                <w:sz w:val="18"/>
                <w:szCs w:val="18"/>
              </w:rPr>
            </w:pPr>
          </w:p>
        </w:tc>
        <w:tc>
          <w:tcPr>
            <w:tcW w:w="3150" w:type="dxa"/>
            <w:tcBorders>
              <w:top w:val="single" w:sz="4" w:space="0" w:color="auto"/>
              <w:left w:val="single" w:sz="4" w:space="0" w:color="auto"/>
              <w:bottom w:val="single" w:sz="12" w:space="0" w:color="7F9DB9"/>
              <w:right w:val="single" w:sz="4" w:space="0" w:color="auto"/>
            </w:tcBorders>
            <w:shd w:val="clear" w:color="auto" w:fill="FFFFFF"/>
          </w:tcPr>
          <w:p w14:paraId="4ED2B7DF" w14:textId="77777777" w:rsidR="00030A10" w:rsidRDefault="00556411" w:rsidP="00FA587C">
            <w:pPr>
              <w:spacing w:before="0" w:after="0"/>
              <w:rPr>
                <w:rFonts w:ascii="Verdana" w:eastAsia="Verdana" w:hAnsi="Verdana" w:cs="Verdana"/>
                <w:color w:val="333333"/>
                <w:sz w:val="18"/>
                <w:szCs w:val="18"/>
              </w:rPr>
            </w:pPr>
            <w:r>
              <w:rPr>
                <w:rFonts w:ascii="Verdana" w:eastAsia="Verdana" w:hAnsi="Verdana" w:cs="Verdana"/>
                <w:color w:val="333333"/>
                <w:sz w:val="18"/>
                <w:szCs w:val="18"/>
              </w:rPr>
              <w:t>SSI - Colon Surgery</w:t>
            </w:r>
          </w:p>
        </w:tc>
        <w:tc>
          <w:tcPr>
            <w:tcW w:w="2070" w:type="dxa"/>
            <w:tcBorders>
              <w:top w:val="single" w:sz="4" w:space="0" w:color="auto"/>
              <w:left w:val="single" w:sz="4" w:space="0" w:color="auto"/>
              <w:bottom w:val="single" w:sz="12" w:space="0" w:color="7F9DB9"/>
              <w:right w:val="single" w:sz="4" w:space="0" w:color="auto"/>
            </w:tcBorders>
            <w:shd w:val="clear" w:color="auto" w:fill="FFFFFF"/>
          </w:tcPr>
          <w:p w14:paraId="04E4C7DF" w14:textId="77777777" w:rsidR="00030A10" w:rsidRDefault="00556411" w:rsidP="00FA587C">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0.00</w:t>
            </w:r>
          </w:p>
        </w:tc>
        <w:tc>
          <w:tcPr>
            <w:tcW w:w="1890" w:type="dxa"/>
            <w:tcBorders>
              <w:top w:val="single" w:sz="4" w:space="0" w:color="auto"/>
              <w:left w:val="single" w:sz="4" w:space="0" w:color="auto"/>
              <w:bottom w:val="single" w:sz="12" w:space="0" w:color="7F9DB9"/>
              <w:right w:val="single" w:sz="8" w:space="0" w:color="7F9DB9"/>
            </w:tcBorders>
            <w:shd w:val="clear" w:color="auto" w:fill="FFFFFF"/>
          </w:tcPr>
          <w:p w14:paraId="57D47207" w14:textId="77777777" w:rsidR="00030A10" w:rsidRDefault="00556411" w:rsidP="00FA587C">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0.749</w:t>
            </w:r>
          </w:p>
        </w:tc>
      </w:tr>
    </w:tbl>
    <w:p w14:paraId="5E1AD08D" w14:textId="77777777" w:rsidR="00030A10" w:rsidRDefault="00556411" w:rsidP="00FA587C">
      <w:pPr>
        <w:spacing w:before="0" w:after="120"/>
        <w:rPr>
          <w:sz w:val="20"/>
          <w:szCs w:val="20"/>
        </w:rPr>
      </w:pPr>
      <w:r>
        <w:rPr>
          <w:sz w:val="20"/>
          <w:szCs w:val="20"/>
        </w:rPr>
        <w:t>*The Safety Domain performance standards were published in the CMS Inpatient Prospective Payment System FFY 20 Final Rule.</w:t>
      </w:r>
    </w:p>
    <w:tbl>
      <w:tblPr>
        <w:tblStyle w:val="a5"/>
        <w:tblW w:w="9630" w:type="dxa"/>
        <w:tblLayout w:type="fixed"/>
        <w:tblLook w:val="0000" w:firstRow="0" w:lastRow="0" w:firstColumn="0" w:lastColumn="0" w:noHBand="0" w:noVBand="0"/>
      </w:tblPr>
      <w:tblGrid>
        <w:gridCol w:w="2790"/>
        <w:gridCol w:w="3420"/>
        <w:gridCol w:w="1800"/>
        <w:gridCol w:w="1620"/>
      </w:tblGrid>
      <w:tr w:rsidR="00FA587C" w14:paraId="0E757710" w14:textId="77777777" w:rsidTr="00830ED1">
        <w:trPr>
          <w:trHeight w:val="300"/>
        </w:trPr>
        <w:tc>
          <w:tcPr>
            <w:tcW w:w="6210" w:type="dxa"/>
            <w:gridSpan w:val="2"/>
            <w:tcBorders>
              <w:top w:val="single" w:sz="24" w:space="0" w:color="7F9DB9"/>
              <w:left w:val="single" w:sz="8" w:space="0" w:color="7F9DB9"/>
              <w:bottom w:val="single" w:sz="8" w:space="0" w:color="7F9DB9"/>
              <w:right w:val="single" w:sz="8" w:space="0" w:color="7F9DB9"/>
            </w:tcBorders>
            <w:vAlign w:val="center"/>
          </w:tcPr>
          <w:p w14:paraId="45BFAA28" w14:textId="77777777" w:rsidR="00FA587C" w:rsidRDefault="00FA587C">
            <w:pPr>
              <w:spacing w:before="0" w:after="0"/>
              <w:ind w:firstLine="160"/>
              <w:rPr>
                <w:rFonts w:ascii="Verdana" w:eastAsia="Verdana" w:hAnsi="Verdana" w:cs="Verdana"/>
                <w:color w:val="333333"/>
                <w:sz w:val="16"/>
                <w:szCs w:val="16"/>
              </w:rPr>
            </w:pPr>
            <w:r>
              <w:rPr>
                <w:rFonts w:ascii="Verdana" w:eastAsia="Verdana" w:hAnsi="Verdana" w:cs="Verdana"/>
                <w:b/>
                <w:color w:val="333333"/>
              </w:rPr>
              <w:t>Clinical Care Domain</w:t>
            </w:r>
          </w:p>
        </w:tc>
        <w:tc>
          <w:tcPr>
            <w:tcW w:w="1800" w:type="dxa"/>
            <w:tcBorders>
              <w:top w:val="single" w:sz="24" w:space="0" w:color="7F9DB9"/>
              <w:left w:val="nil"/>
              <w:bottom w:val="single" w:sz="8" w:space="0" w:color="7F9DB9"/>
              <w:right w:val="single" w:sz="8" w:space="0" w:color="7F9DB9"/>
            </w:tcBorders>
            <w:vAlign w:val="center"/>
          </w:tcPr>
          <w:p w14:paraId="64EFA0D0" w14:textId="77777777" w:rsidR="00FA587C" w:rsidRDefault="00FA587C">
            <w:pPr>
              <w:spacing w:before="0" w:after="0"/>
              <w:ind w:firstLine="160"/>
              <w:rPr>
                <w:rFonts w:ascii="Verdana" w:eastAsia="Verdana" w:hAnsi="Verdana" w:cs="Verdana"/>
                <w:color w:val="333333"/>
                <w:sz w:val="16"/>
                <w:szCs w:val="16"/>
              </w:rPr>
            </w:pPr>
          </w:p>
        </w:tc>
        <w:tc>
          <w:tcPr>
            <w:tcW w:w="1620" w:type="dxa"/>
            <w:tcBorders>
              <w:top w:val="single" w:sz="24" w:space="0" w:color="7F9DB9"/>
              <w:left w:val="nil"/>
              <w:bottom w:val="single" w:sz="8" w:space="0" w:color="7F9DB9"/>
              <w:right w:val="single" w:sz="8" w:space="0" w:color="7F9DB9"/>
            </w:tcBorders>
            <w:vAlign w:val="center"/>
          </w:tcPr>
          <w:p w14:paraId="57F9350F" w14:textId="77777777" w:rsidR="00FA587C" w:rsidRDefault="00FA587C">
            <w:pPr>
              <w:spacing w:before="0" w:after="0"/>
              <w:ind w:firstLine="160"/>
              <w:rPr>
                <w:rFonts w:ascii="Verdana" w:eastAsia="Verdana" w:hAnsi="Verdana" w:cs="Verdana"/>
                <w:color w:val="333333"/>
                <w:sz w:val="16"/>
                <w:szCs w:val="16"/>
              </w:rPr>
            </w:pPr>
          </w:p>
        </w:tc>
      </w:tr>
      <w:tr w:rsidR="00030A10" w14:paraId="2FFF3F96" w14:textId="77777777">
        <w:trPr>
          <w:trHeight w:val="300"/>
        </w:trPr>
        <w:tc>
          <w:tcPr>
            <w:tcW w:w="2790" w:type="dxa"/>
            <w:tcBorders>
              <w:top w:val="nil"/>
              <w:left w:val="single" w:sz="8" w:space="0" w:color="7F9DB9"/>
              <w:bottom w:val="nil"/>
              <w:right w:val="single" w:sz="8" w:space="0" w:color="7F9DB9"/>
            </w:tcBorders>
            <w:shd w:val="clear" w:color="auto" w:fill="DEEAF6"/>
            <w:vAlign w:val="center"/>
          </w:tcPr>
          <w:p w14:paraId="4B6568E5" w14:textId="77777777" w:rsidR="00030A10" w:rsidRDefault="00556411">
            <w:pPr>
              <w:spacing w:before="0" w:after="0"/>
              <w:rPr>
                <w:rFonts w:ascii="Verdana" w:eastAsia="Verdana" w:hAnsi="Verdana" w:cs="Verdana"/>
                <w:color w:val="333333"/>
                <w:sz w:val="16"/>
                <w:szCs w:val="16"/>
              </w:rPr>
            </w:pPr>
            <w:r>
              <w:rPr>
                <w:rFonts w:ascii="Verdana" w:eastAsia="Verdana" w:hAnsi="Verdana" w:cs="Verdana"/>
                <w:b/>
                <w:color w:val="333333"/>
                <w:sz w:val="16"/>
                <w:szCs w:val="16"/>
              </w:rPr>
              <w:t>Measure Short ID</w:t>
            </w:r>
          </w:p>
        </w:tc>
        <w:tc>
          <w:tcPr>
            <w:tcW w:w="3420" w:type="dxa"/>
            <w:tcBorders>
              <w:top w:val="nil"/>
              <w:left w:val="nil"/>
              <w:bottom w:val="nil"/>
              <w:right w:val="single" w:sz="8" w:space="0" w:color="7F9DB9"/>
            </w:tcBorders>
            <w:shd w:val="clear" w:color="auto" w:fill="DEEAF6"/>
          </w:tcPr>
          <w:p w14:paraId="0C75E8FE" w14:textId="77777777" w:rsidR="00030A10" w:rsidRDefault="00556411">
            <w:pPr>
              <w:spacing w:before="0" w:after="0"/>
              <w:ind w:firstLine="161"/>
              <w:rPr>
                <w:rFonts w:ascii="Verdana" w:eastAsia="Verdana" w:hAnsi="Verdana" w:cs="Verdana"/>
                <w:color w:val="333333"/>
                <w:sz w:val="16"/>
                <w:szCs w:val="16"/>
              </w:rPr>
            </w:pPr>
            <w:r>
              <w:rPr>
                <w:rFonts w:ascii="Verdana" w:eastAsia="Verdana" w:hAnsi="Verdana" w:cs="Verdana"/>
                <w:b/>
                <w:color w:val="333333"/>
                <w:sz w:val="16"/>
                <w:szCs w:val="16"/>
              </w:rPr>
              <w:t>Measure Description</w:t>
            </w:r>
          </w:p>
        </w:tc>
        <w:tc>
          <w:tcPr>
            <w:tcW w:w="1800" w:type="dxa"/>
            <w:tcBorders>
              <w:top w:val="nil"/>
              <w:left w:val="nil"/>
              <w:bottom w:val="nil"/>
              <w:right w:val="single" w:sz="8" w:space="0" w:color="7F9DB9"/>
            </w:tcBorders>
            <w:shd w:val="clear" w:color="auto" w:fill="DEEAF6"/>
            <w:vAlign w:val="center"/>
          </w:tcPr>
          <w:p w14:paraId="22781CE9" w14:textId="77777777" w:rsidR="00030A10" w:rsidRDefault="00556411">
            <w:pPr>
              <w:spacing w:before="0" w:after="0"/>
              <w:ind w:firstLine="161"/>
              <w:rPr>
                <w:rFonts w:ascii="Verdana" w:eastAsia="Verdana" w:hAnsi="Verdana" w:cs="Verdana"/>
                <w:color w:val="333333"/>
                <w:sz w:val="16"/>
                <w:szCs w:val="16"/>
              </w:rPr>
            </w:pPr>
            <w:r>
              <w:rPr>
                <w:rFonts w:ascii="Verdana" w:eastAsia="Verdana" w:hAnsi="Verdana" w:cs="Verdana"/>
                <w:b/>
                <w:color w:val="333333"/>
                <w:sz w:val="16"/>
                <w:szCs w:val="16"/>
              </w:rPr>
              <w:t>Benchmark</w:t>
            </w:r>
          </w:p>
        </w:tc>
        <w:tc>
          <w:tcPr>
            <w:tcW w:w="1620" w:type="dxa"/>
            <w:tcBorders>
              <w:top w:val="nil"/>
              <w:left w:val="nil"/>
              <w:bottom w:val="nil"/>
              <w:right w:val="single" w:sz="8" w:space="0" w:color="7F9DB9"/>
            </w:tcBorders>
            <w:shd w:val="clear" w:color="auto" w:fill="DEEAF6"/>
            <w:vAlign w:val="center"/>
          </w:tcPr>
          <w:p w14:paraId="74F9D8CE" w14:textId="77777777" w:rsidR="00030A10" w:rsidRDefault="00556411">
            <w:pPr>
              <w:spacing w:before="0" w:after="0"/>
              <w:ind w:firstLine="161"/>
              <w:rPr>
                <w:rFonts w:ascii="Verdana" w:eastAsia="Verdana" w:hAnsi="Verdana" w:cs="Verdana"/>
                <w:color w:val="333333"/>
                <w:sz w:val="16"/>
                <w:szCs w:val="16"/>
              </w:rPr>
            </w:pPr>
            <w:r>
              <w:rPr>
                <w:rFonts w:ascii="Verdana" w:eastAsia="Verdana" w:hAnsi="Verdana" w:cs="Verdana"/>
                <w:b/>
                <w:color w:val="333333"/>
                <w:sz w:val="16"/>
                <w:szCs w:val="16"/>
              </w:rPr>
              <w:t>Achievement Threshold</w:t>
            </w:r>
          </w:p>
        </w:tc>
      </w:tr>
      <w:tr w:rsidR="00030A10" w14:paraId="683D9610" w14:textId="77777777">
        <w:trPr>
          <w:trHeight w:val="300"/>
        </w:trPr>
        <w:tc>
          <w:tcPr>
            <w:tcW w:w="2790" w:type="dxa"/>
            <w:tcBorders>
              <w:top w:val="nil"/>
              <w:left w:val="single" w:sz="8" w:space="0" w:color="7F9DB9"/>
              <w:bottom w:val="single" w:sz="8" w:space="0" w:color="7F9DB9"/>
              <w:right w:val="single" w:sz="8" w:space="0" w:color="7F9DB9"/>
            </w:tcBorders>
            <w:vAlign w:val="center"/>
          </w:tcPr>
          <w:p w14:paraId="6E3734EE"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Mortality</w:t>
            </w:r>
          </w:p>
        </w:tc>
        <w:tc>
          <w:tcPr>
            <w:tcW w:w="3420" w:type="dxa"/>
            <w:tcBorders>
              <w:top w:val="nil"/>
              <w:left w:val="nil"/>
              <w:bottom w:val="single" w:sz="8" w:space="0" w:color="7F9DB9"/>
              <w:right w:val="single" w:sz="8" w:space="0" w:color="7F9DB9"/>
            </w:tcBorders>
          </w:tcPr>
          <w:p w14:paraId="56F68DB0"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All Condition Inpatient Mortality</w:t>
            </w:r>
          </w:p>
        </w:tc>
        <w:tc>
          <w:tcPr>
            <w:tcW w:w="1800" w:type="dxa"/>
            <w:tcBorders>
              <w:top w:val="nil"/>
              <w:left w:val="nil"/>
              <w:bottom w:val="single" w:sz="8" w:space="0" w:color="7F9DB9"/>
              <w:right w:val="single" w:sz="8" w:space="0" w:color="7F9DB9"/>
            </w:tcBorders>
            <w:vAlign w:val="center"/>
          </w:tcPr>
          <w:p w14:paraId="4BA6834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TBD*</w:t>
            </w:r>
          </w:p>
        </w:tc>
        <w:tc>
          <w:tcPr>
            <w:tcW w:w="1620" w:type="dxa"/>
            <w:tcBorders>
              <w:top w:val="nil"/>
              <w:left w:val="nil"/>
              <w:bottom w:val="single" w:sz="8" w:space="0" w:color="7F9DB9"/>
              <w:right w:val="single" w:sz="8" w:space="0" w:color="7F9DB9"/>
            </w:tcBorders>
            <w:vAlign w:val="center"/>
          </w:tcPr>
          <w:p w14:paraId="4E067183"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color w:val="333333"/>
                <w:sz w:val="18"/>
                <w:szCs w:val="18"/>
              </w:rPr>
              <w:t>TBD*</w:t>
            </w:r>
          </w:p>
        </w:tc>
      </w:tr>
      <w:tr w:rsidR="00030A10" w14:paraId="30015B8E" w14:textId="77777777">
        <w:trPr>
          <w:trHeight w:val="300"/>
        </w:trPr>
        <w:tc>
          <w:tcPr>
            <w:tcW w:w="2790" w:type="dxa"/>
            <w:tcBorders>
              <w:top w:val="single" w:sz="8" w:space="0" w:color="7F9DB9"/>
              <w:left w:val="single" w:sz="8" w:space="0" w:color="7F9DB9"/>
              <w:bottom w:val="single" w:sz="12" w:space="0" w:color="7F9DB9"/>
              <w:right w:val="single" w:sz="8" w:space="0" w:color="7F9DB9"/>
            </w:tcBorders>
            <w:vAlign w:val="center"/>
          </w:tcPr>
          <w:p w14:paraId="1DB2DE19"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THA/TKA RSCR**</w:t>
            </w:r>
          </w:p>
        </w:tc>
        <w:tc>
          <w:tcPr>
            <w:tcW w:w="3420" w:type="dxa"/>
            <w:tcBorders>
              <w:top w:val="single" w:sz="8" w:space="0" w:color="7F9DB9"/>
              <w:left w:val="nil"/>
              <w:bottom w:val="single" w:sz="12" w:space="0" w:color="7F9DB9"/>
              <w:right w:val="single" w:sz="8" w:space="0" w:color="7F9DB9"/>
            </w:tcBorders>
          </w:tcPr>
          <w:p w14:paraId="71FF2957" w14:textId="77777777" w:rsidR="00030A10" w:rsidRDefault="00556411">
            <w:pPr>
              <w:spacing w:before="0" w:after="0"/>
              <w:rPr>
                <w:rFonts w:ascii="Verdana" w:eastAsia="Verdana" w:hAnsi="Verdana" w:cs="Verdana"/>
                <w:color w:val="333333"/>
                <w:sz w:val="18"/>
                <w:szCs w:val="18"/>
              </w:rPr>
            </w:pPr>
            <w:r>
              <w:rPr>
                <w:rFonts w:ascii="Verdana" w:eastAsia="Verdana" w:hAnsi="Verdana" w:cs="Verdana"/>
                <w:color w:val="333333"/>
                <w:sz w:val="18"/>
                <w:szCs w:val="18"/>
              </w:rPr>
              <w:t>Total Hip/Knee Arthroplasty Risk Standardized Complication Rate</w:t>
            </w:r>
          </w:p>
        </w:tc>
        <w:tc>
          <w:tcPr>
            <w:tcW w:w="1800" w:type="dxa"/>
            <w:tcBorders>
              <w:top w:val="single" w:sz="8" w:space="0" w:color="7F9DB9"/>
              <w:left w:val="nil"/>
              <w:bottom w:val="single" w:sz="12" w:space="0" w:color="7F9DB9"/>
              <w:right w:val="single" w:sz="8" w:space="0" w:color="7F9DB9"/>
            </w:tcBorders>
            <w:vAlign w:val="center"/>
          </w:tcPr>
          <w:p w14:paraId="64E1DAA6"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0.021493</w:t>
            </w:r>
          </w:p>
        </w:tc>
        <w:tc>
          <w:tcPr>
            <w:tcW w:w="1620" w:type="dxa"/>
            <w:tcBorders>
              <w:top w:val="single" w:sz="8" w:space="0" w:color="7F9DB9"/>
              <w:left w:val="nil"/>
              <w:bottom w:val="single" w:sz="12" w:space="0" w:color="7F9DB9"/>
              <w:right w:val="single" w:sz="8" w:space="0" w:color="7F9DB9"/>
            </w:tcBorders>
            <w:vAlign w:val="center"/>
          </w:tcPr>
          <w:p w14:paraId="478E0FCF" w14:textId="77777777" w:rsidR="00030A10" w:rsidRDefault="00556411">
            <w:pPr>
              <w:spacing w:before="0" w:after="0"/>
              <w:ind w:firstLine="180"/>
              <w:rPr>
                <w:rFonts w:ascii="Verdana" w:eastAsia="Verdana" w:hAnsi="Verdana" w:cs="Verdana"/>
                <w:color w:val="333333"/>
                <w:sz w:val="18"/>
                <w:szCs w:val="18"/>
              </w:rPr>
            </w:pPr>
            <w:r>
              <w:rPr>
                <w:rFonts w:ascii="Verdana" w:eastAsia="Verdana" w:hAnsi="Verdana" w:cs="Verdana"/>
                <w:sz w:val="18"/>
                <w:szCs w:val="18"/>
              </w:rPr>
              <w:t>0.029833</w:t>
            </w:r>
          </w:p>
        </w:tc>
      </w:tr>
    </w:tbl>
    <w:p w14:paraId="3F222AE1" w14:textId="77777777" w:rsidR="00030A10" w:rsidRDefault="00556411">
      <w:pPr>
        <w:spacing w:before="0" w:after="0"/>
        <w:rPr>
          <w:sz w:val="20"/>
          <w:szCs w:val="20"/>
        </w:rPr>
      </w:pPr>
      <w:bookmarkStart w:id="45" w:name="_4i7ojhp" w:colFirst="0" w:colLast="0"/>
      <w:bookmarkEnd w:id="45"/>
      <w:r>
        <w:rPr>
          <w:sz w:val="20"/>
          <w:szCs w:val="20"/>
        </w:rPr>
        <w:t>*Mortality standards will be calculated by HSCRC staff and disseminated with implementation of v. 37 of the APR DRG grouper.</w:t>
      </w:r>
    </w:p>
    <w:p w14:paraId="1CD3E0D8" w14:textId="77777777" w:rsidR="007D097E" w:rsidRDefault="00556411" w:rsidP="001B1684">
      <w:pPr>
        <w:spacing w:before="0" w:after="0"/>
        <w:rPr>
          <w:rFonts w:ascii="Calibri" w:eastAsia="Calibri" w:hAnsi="Calibri" w:cs="Calibri"/>
          <w:b/>
          <w:smallCaps/>
          <w:color w:val="1F497D"/>
          <w:sz w:val="28"/>
          <w:szCs w:val="28"/>
        </w:rPr>
      </w:pPr>
      <w:bookmarkStart w:id="46" w:name="_2xcytpi" w:colFirst="0" w:colLast="0"/>
      <w:bookmarkEnd w:id="46"/>
      <w:r>
        <w:rPr>
          <w:sz w:val="20"/>
          <w:szCs w:val="20"/>
        </w:rPr>
        <w:t>**THA/TKA standards were published in the CMS Inpatient Prospective Payment System FFY 20 Final Rule.</w:t>
      </w:r>
      <w:r w:rsidR="007D097E">
        <w:br w:type="page"/>
      </w:r>
    </w:p>
    <w:p w14:paraId="07656F8D" w14:textId="77777777" w:rsidR="00830ED1" w:rsidRDefault="00830ED1">
      <w:pPr>
        <w:pStyle w:val="Heading1"/>
        <w:ind w:left="720"/>
        <w:sectPr w:rsidR="00830ED1" w:rsidSect="00B22D95">
          <w:pgSz w:w="12240" w:h="15840"/>
          <w:pgMar w:top="245" w:right="1620" w:bottom="245" w:left="576" w:header="720" w:footer="720" w:gutter="0"/>
          <w:cols w:space="720" w:equalWidth="0">
            <w:col w:w="9360"/>
          </w:cols>
          <w:docGrid w:linePitch="326"/>
        </w:sectPr>
      </w:pPr>
    </w:p>
    <w:p w14:paraId="597526B9" w14:textId="3B80E2EC" w:rsidR="00030A10" w:rsidRDefault="00556411">
      <w:pPr>
        <w:pStyle w:val="Heading1"/>
        <w:ind w:left="720"/>
      </w:pPr>
      <w:bookmarkStart w:id="47" w:name="_Toc26345156"/>
      <w:r>
        <w:lastRenderedPageBreak/>
        <w:t>A</w:t>
      </w:r>
      <w:r w:rsidR="00355A3E">
        <w:t>ppendix V. Modeling of Scores by Domain: RY 2020 QBR data with RY 2022 Measure Updates</w:t>
      </w:r>
      <w:bookmarkEnd w:id="47"/>
      <w:r w:rsidR="00355A3E">
        <w:t xml:space="preserve"> </w:t>
      </w:r>
    </w:p>
    <w:p w14:paraId="7E5B7160" w14:textId="0C4B1354" w:rsidR="00830ED1" w:rsidRDefault="00556411" w:rsidP="00A94968">
      <w:pPr>
        <w:pBdr>
          <w:top w:val="nil"/>
          <w:left w:val="nil"/>
          <w:bottom w:val="nil"/>
          <w:right w:val="nil"/>
          <w:between w:val="nil"/>
        </w:pBdr>
        <w:ind w:left="720"/>
      </w:pPr>
      <w:bookmarkStart w:id="48" w:name="_2bn6wsx" w:colFirst="0" w:colLast="0"/>
      <w:bookmarkEnd w:id="48"/>
      <w:r>
        <w:rPr>
          <w:color w:val="000000"/>
        </w:rPr>
        <w:t>This appendix includes</w:t>
      </w:r>
      <w:r>
        <w:t xml:space="preserve"> modeled QBR scores with </w:t>
      </w:r>
      <w:r w:rsidR="00E17B10">
        <w:t>ED Wait Time</w:t>
      </w:r>
      <w:r>
        <w:t>s removed, THA-TKA measure included, and technical changes to the mortality measure.</w:t>
      </w:r>
    </w:p>
    <w:tbl>
      <w:tblPr>
        <w:tblW w:w="10320" w:type="dxa"/>
        <w:tblInd w:w="265" w:type="dxa"/>
        <w:tblLook w:val="04A0" w:firstRow="1" w:lastRow="0" w:firstColumn="1" w:lastColumn="0" w:noHBand="0" w:noVBand="1"/>
      </w:tblPr>
      <w:tblGrid>
        <w:gridCol w:w="1060"/>
        <w:gridCol w:w="2260"/>
        <w:gridCol w:w="1400"/>
        <w:gridCol w:w="1400"/>
        <w:gridCol w:w="1400"/>
        <w:gridCol w:w="1400"/>
        <w:gridCol w:w="1400"/>
      </w:tblGrid>
      <w:tr w:rsidR="00A94968" w:rsidRPr="00A94968" w14:paraId="6FAC9CE5" w14:textId="77777777" w:rsidTr="004B3BD3">
        <w:trPr>
          <w:trHeight w:val="525"/>
          <w:tblHeader/>
        </w:trPr>
        <w:tc>
          <w:tcPr>
            <w:tcW w:w="1060" w:type="dxa"/>
            <w:vMerge w:val="restart"/>
            <w:tcBorders>
              <w:top w:val="single" w:sz="4" w:space="0" w:color="auto"/>
              <w:left w:val="single" w:sz="4" w:space="0" w:color="auto"/>
              <w:bottom w:val="single" w:sz="4" w:space="0" w:color="000000"/>
              <w:right w:val="single" w:sz="4" w:space="0" w:color="auto"/>
            </w:tcBorders>
            <w:shd w:val="clear" w:color="000000" w:fill="E8E6DA"/>
            <w:vAlign w:val="center"/>
            <w:hideMark/>
          </w:tcPr>
          <w:p w14:paraId="15197ED7"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Hospital ID</w:t>
            </w:r>
          </w:p>
        </w:tc>
        <w:tc>
          <w:tcPr>
            <w:tcW w:w="2260" w:type="dxa"/>
            <w:vMerge w:val="restart"/>
            <w:tcBorders>
              <w:top w:val="single" w:sz="4" w:space="0" w:color="auto"/>
              <w:left w:val="single" w:sz="4" w:space="0" w:color="auto"/>
              <w:bottom w:val="single" w:sz="4" w:space="0" w:color="000000"/>
              <w:right w:val="single" w:sz="4" w:space="0" w:color="auto"/>
            </w:tcBorders>
            <w:shd w:val="clear" w:color="000000" w:fill="E8E6DA"/>
            <w:vAlign w:val="center"/>
            <w:hideMark/>
          </w:tcPr>
          <w:p w14:paraId="0E23C777"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Hospital Name</w:t>
            </w:r>
          </w:p>
        </w:tc>
        <w:tc>
          <w:tcPr>
            <w:tcW w:w="1400" w:type="dxa"/>
            <w:tcBorders>
              <w:top w:val="single" w:sz="4" w:space="0" w:color="auto"/>
              <w:left w:val="nil"/>
              <w:bottom w:val="single" w:sz="4" w:space="0" w:color="auto"/>
              <w:right w:val="single" w:sz="4" w:space="0" w:color="auto"/>
            </w:tcBorders>
            <w:shd w:val="clear" w:color="000000" w:fill="E8E6DA"/>
            <w:vAlign w:val="center"/>
            <w:hideMark/>
          </w:tcPr>
          <w:p w14:paraId="0DA7CD0A"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HCAHPS Score</w:t>
            </w:r>
          </w:p>
        </w:tc>
        <w:tc>
          <w:tcPr>
            <w:tcW w:w="1400" w:type="dxa"/>
            <w:tcBorders>
              <w:top w:val="single" w:sz="4" w:space="0" w:color="auto"/>
              <w:left w:val="nil"/>
              <w:bottom w:val="single" w:sz="4" w:space="0" w:color="auto"/>
              <w:right w:val="single" w:sz="4" w:space="0" w:color="auto"/>
            </w:tcBorders>
            <w:shd w:val="clear" w:color="000000" w:fill="E8E6DA"/>
            <w:vAlign w:val="center"/>
            <w:hideMark/>
          </w:tcPr>
          <w:p w14:paraId="7971C3EF"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Mortality  Score</w:t>
            </w:r>
          </w:p>
        </w:tc>
        <w:tc>
          <w:tcPr>
            <w:tcW w:w="1400" w:type="dxa"/>
            <w:tcBorders>
              <w:top w:val="single" w:sz="4" w:space="0" w:color="auto"/>
              <w:left w:val="nil"/>
              <w:bottom w:val="single" w:sz="4" w:space="0" w:color="auto"/>
              <w:right w:val="single" w:sz="4" w:space="0" w:color="auto"/>
            </w:tcBorders>
            <w:shd w:val="clear" w:color="000000" w:fill="E8E6DA"/>
            <w:vAlign w:val="center"/>
            <w:hideMark/>
          </w:tcPr>
          <w:p w14:paraId="1C7696B8"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THA-TKA Score</w:t>
            </w:r>
          </w:p>
        </w:tc>
        <w:tc>
          <w:tcPr>
            <w:tcW w:w="1400" w:type="dxa"/>
            <w:tcBorders>
              <w:top w:val="single" w:sz="4" w:space="0" w:color="auto"/>
              <w:left w:val="nil"/>
              <w:bottom w:val="single" w:sz="4" w:space="0" w:color="auto"/>
              <w:right w:val="single" w:sz="4" w:space="0" w:color="auto"/>
            </w:tcBorders>
            <w:shd w:val="clear" w:color="000000" w:fill="E8E6DA"/>
            <w:vAlign w:val="center"/>
            <w:hideMark/>
          </w:tcPr>
          <w:p w14:paraId="0C80E418"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Safety Score</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E8E6DA"/>
            <w:vAlign w:val="center"/>
            <w:hideMark/>
          </w:tcPr>
          <w:p w14:paraId="47BB18A0"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Total Score</w:t>
            </w:r>
          </w:p>
        </w:tc>
      </w:tr>
      <w:tr w:rsidR="00A94968" w:rsidRPr="00A94968" w14:paraId="480D3F66" w14:textId="77777777" w:rsidTr="004B3BD3">
        <w:trPr>
          <w:trHeight w:val="300"/>
          <w:tblHeader/>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4C0BF72D" w14:textId="77777777" w:rsidR="00A94968" w:rsidRPr="00A94968" w:rsidRDefault="00A94968" w:rsidP="00A94968">
            <w:pPr>
              <w:spacing w:before="0" w:after="0"/>
              <w:rPr>
                <w:rFonts w:ascii="Arial" w:hAnsi="Arial" w:cs="Arial"/>
                <w:b/>
                <w:bCs/>
                <w:sz w:val="20"/>
                <w:szCs w:val="20"/>
              </w:rPr>
            </w:pPr>
          </w:p>
        </w:tc>
        <w:tc>
          <w:tcPr>
            <w:tcW w:w="2260" w:type="dxa"/>
            <w:vMerge/>
            <w:tcBorders>
              <w:top w:val="single" w:sz="4" w:space="0" w:color="auto"/>
              <w:left w:val="single" w:sz="4" w:space="0" w:color="auto"/>
              <w:bottom w:val="single" w:sz="4" w:space="0" w:color="000000"/>
              <w:right w:val="single" w:sz="4" w:space="0" w:color="auto"/>
            </w:tcBorders>
            <w:vAlign w:val="center"/>
            <w:hideMark/>
          </w:tcPr>
          <w:p w14:paraId="0216481A" w14:textId="77777777" w:rsidR="00A94968" w:rsidRPr="00A94968" w:rsidRDefault="00A94968" w:rsidP="00A94968">
            <w:pPr>
              <w:spacing w:before="0" w:after="0"/>
              <w:rPr>
                <w:rFonts w:ascii="Arial" w:hAnsi="Arial" w:cs="Arial"/>
                <w:b/>
                <w:bCs/>
                <w:sz w:val="20"/>
                <w:szCs w:val="20"/>
              </w:rPr>
            </w:pPr>
          </w:p>
        </w:tc>
        <w:tc>
          <w:tcPr>
            <w:tcW w:w="1400" w:type="dxa"/>
            <w:tcBorders>
              <w:top w:val="nil"/>
              <w:left w:val="nil"/>
              <w:bottom w:val="single" w:sz="4" w:space="0" w:color="auto"/>
              <w:right w:val="single" w:sz="4" w:space="0" w:color="auto"/>
            </w:tcBorders>
            <w:shd w:val="clear" w:color="000000" w:fill="E8E6DA"/>
            <w:vAlign w:val="center"/>
            <w:hideMark/>
          </w:tcPr>
          <w:p w14:paraId="2BD8BD40"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50%</w:t>
            </w:r>
          </w:p>
        </w:tc>
        <w:tc>
          <w:tcPr>
            <w:tcW w:w="1400" w:type="dxa"/>
            <w:tcBorders>
              <w:top w:val="nil"/>
              <w:left w:val="nil"/>
              <w:bottom w:val="single" w:sz="4" w:space="0" w:color="auto"/>
              <w:right w:val="single" w:sz="4" w:space="0" w:color="auto"/>
            </w:tcBorders>
            <w:shd w:val="clear" w:color="000000" w:fill="E8E6DA"/>
            <w:vAlign w:val="center"/>
            <w:hideMark/>
          </w:tcPr>
          <w:p w14:paraId="34E115BF"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10%</w:t>
            </w:r>
          </w:p>
        </w:tc>
        <w:tc>
          <w:tcPr>
            <w:tcW w:w="1400" w:type="dxa"/>
            <w:tcBorders>
              <w:top w:val="nil"/>
              <w:left w:val="nil"/>
              <w:bottom w:val="single" w:sz="4" w:space="0" w:color="auto"/>
              <w:right w:val="single" w:sz="4" w:space="0" w:color="auto"/>
            </w:tcBorders>
            <w:shd w:val="clear" w:color="000000" w:fill="E8E6DA"/>
            <w:vAlign w:val="center"/>
            <w:hideMark/>
          </w:tcPr>
          <w:p w14:paraId="3A0C1488"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5%</w:t>
            </w:r>
          </w:p>
        </w:tc>
        <w:tc>
          <w:tcPr>
            <w:tcW w:w="1400" w:type="dxa"/>
            <w:tcBorders>
              <w:top w:val="nil"/>
              <w:left w:val="nil"/>
              <w:bottom w:val="single" w:sz="4" w:space="0" w:color="auto"/>
              <w:right w:val="single" w:sz="4" w:space="0" w:color="auto"/>
            </w:tcBorders>
            <w:shd w:val="clear" w:color="000000" w:fill="E8E6DA"/>
            <w:vAlign w:val="center"/>
            <w:hideMark/>
          </w:tcPr>
          <w:p w14:paraId="7C7C7E91" w14:textId="77777777" w:rsidR="00A94968" w:rsidRPr="00A94968" w:rsidRDefault="00A94968" w:rsidP="00A94968">
            <w:pPr>
              <w:spacing w:before="0" w:after="0"/>
              <w:jc w:val="center"/>
              <w:rPr>
                <w:rFonts w:ascii="Arial" w:hAnsi="Arial" w:cs="Arial"/>
                <w:b/>
                <w:bCs/>
                <w:sz w:val="20"/>
                <w:szCs w:val="20"/>
              </w:rPr>
            </w:pPr>
            <w:r w:rsidRPr="00A94968">
              <w:rPr>
                <w:rFonts w:ascii="Arial" w:hAnsi="Arial" w:cs="Arial"/>
                <w:b/>
                <w:bCs/>
                <w:sz w:val="20"/>
                <w:szCs w:val="20"/>
              </w:rPr>
              <w:t>35%</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4F1086B9" w14:textId="77777777" w:rsidR="00A94968" w:rsidRPr="00A94968" w:rsidRDefault="00A94968" w:rsidP="00A94968">
            <w:pPr>
              <w:spacing w:before="0" w:after="0"/>
              <w:rPr>
                <w:rFonts w:ascii="Arial" w:hAnsi="Arial" w:cs="Arial"/>
                <w:b/>
                <w:bCs/>
                <w:sz w:val="20"/>
                <w:szCs w:val="20"/>
              </w:rPr>
            </w:pPr>
          </w:p>
        </w:tc>
      </w:tr>
      <w:tr w:rsidR="00A94968" w:rsidRPr="00A94968" w14:paraId="65477640"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F45FDE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210001</w:t>
            </w:r>
          </w:p>
        </w:tc>
        <w:tc>
          <w:tcPr>
            <w:tcW w:w="2260" w:type="dxa"/>
            <w:tcBorders>
              <w:top w:val="nil"/>
              <w:left w:val="nil"/>
              <w:bottom w:val="single" w:sz="4" w:space="0" w:color="auto"/>
              <w:right w:val="single" w:sz="4" w:space="0" w:color="auto"/>
            </w:tcBorders>
            <w:shd w:val="clear" w:color="000000" w:fill="FFFFFF"/>
            <w:vAlign w:val="bottom"/>
            <w:hideMark/>
          </w:tcPr>
          <w:p w14:paraId="7B2961B3"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Meritus</w:t>
            </w:r>
          </w:p>
        </w:tc>
        <w:tc>
          <w:tcPr>
            <w:tcW w:w="1400" w:type="dxa"/>
            <w:tcBorders>
              <w:top w:val="nil"/>
              <w:left w:val="nil"/>
              <w:bottom w:val="single" w:sz="4" w:space="0" w:color="auto"/>
              <w:right w:val="single" w:sz="4" w:space="0" w:color="auto"/>
            </w:tcBorders>
            <w:shd w:val="clear" w:color="000000" w:fill="FFFFFF"/>
            <w:vAlign w:val="bottom"/>
            <w:hideMark/>
          </w:tcPr>
          <w:p w14:paraId="7D95FC5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23%</w:t>
            </w:r>
          </w:p>
        </w:tc>
        <w:tc>
          <w:tcPr>
            <w:tcW w:w="1400" w:type="dxa"/>
            <w:tcBorders>
              <w:top w:val="nil"/>
              <w:left w:val="nil"/>
              <w:bottom w:val="single" w:sz="4" w:space="0" w:color="auto"/>
              <w:right w:val="single" w:sz="4" w:space="0" w:color="auto"/>
            </w:tcBorders>
            <w:shd w:val="clear" w:color="auto" w:fill="auto"/>
            <w:noWrap/>
            <w:vAlign w:val="bottom"/>
            <w:hideMark/>
          </w:tcPr>
          <w:p w14:paraId="7DFFBB8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000000" w:fill="FFFFFF"/>
            <w:vAlign w:val="bottom"/>
            <w:hideMark/>
          </w:tcPr>
          <w:p w14:paraId="56C9FCF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000000" w:fill="FFFFFF"/>
            <w:vAlign w:val="bottom"/>
            <w:hideMark/>
          </w:tcPr>
          <w:p w14:paraId="1DFB52C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33%</w:t>
            </w:r>
          </w:p>
        </w:tc>
        <w:tc>
          <w:tcPr>
            <w:tcW w:w="1400" w:type="dxa"/>
            <w:tcBorders>
              <w:top w:val="nil"/>
              <w:left w:val="nil"/>
              <w:bottom w:val="single" w:sz="4" w:space="0" w:color="auto"/>
              <w:right w:val="single" w:sz="4" w:space="0" w:color="auto"/>
            </w:tcBorders>
            <w:shd w:val="clear" w:color="auto" w:fill="auto"/>
            <w:vAlign w:val="bottom"/>
            <w:hideMark/>
          </w:tcPr>
          <w:p w14:paraId="4DA2454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27.17%</w:t>
            </w:r>
          </w:p>
        </w:tc>
      </w:tr>
      <w:tr w:rsidR="00A94968" w:rsidRPr="00A94968" w14:paraId="1C1A2E2C"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190527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210002</w:t>
            </w:r>
          </w:p>
        </w:tc>
        <w:tc>
          <w:tcPr>
            <w:tcW w:w="2260" w:type="dxa"/>
            <w:tcBorders>
              <w:top w:val="nil"/>
              <w:left w:val="nil"/>
              <w:bottom w:val="single" w:sz="4" w:space="0" w:color="auto"/>
              <w:right w:val="single" w:sz="4" w:space="0" w:color="auto"/>
            </w:tcBorders>
            <w:shd w:val="clear" w:color="000000" w:fill="FFFFFF"/>
            <w:vAlign w:val="bottom"/>
            <w:hideMark/>
          </w:tcPr>
          <w:p w14:paraId="18B85136"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UMMC</w:t>
            </w:r>
          </w:p>
        </w:tc>
        <w:tc>
          <w:tcPr>
            <w:tcW w:w="1400" w:type="dxa"/>
            <w:tcBorders>
              <w:top w:val="nil"/>
              <w:left w:val="nil"/>
              <w:bottom w:val="single" w:sz="4" w:space="0" w:color="auto"/>
              <w:right w:val="single" w:sz="4" w:space="0" w:color="auto"/>
            </w:tcBorders>
            <w:shd w:val="clear" w:color="000000" w:fill="FFFFFF"/>
            <w:vAlign w:val="bottom"/>
            <w:hideMark/>
          </w:tcPr>
          <w:p w14:paraId="72103E0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19%</w:t>
            </w:r>
          </w:p>
        </w:tc>
        <w:tc>
          <w:tcPr>
            <w:tcW w:w="1400" w:type="dxa"/>
            <w:tcBorders>
              <w:top w:val="nil"/>
              <w:left w:val="nil"/>
              <w:bottom w:val="single" w:sz="4" w:space="0" w:color="auto"/>
              <w:right w:val="single" w:sz="4" w:space="0" w:color="auto"/>
            </w:tcBorders>
            <w:shd w:val="clear" w:color="auto" w:fill="auto"/>
            <w:noWrap/>
            <w:vAlign w:val="bottom"/>
            <w:hideMark/>
          </w:tcPr>
          <w:p w14:paraId="7427E3A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0%</w:t>
            </w:r>
          </w:p>
        </w:tc>
        <w:tc>
          <w:tcPr>
            <w:tcW w:w="1400" w:type="dxa"/>
            <w:tcBorders>
              <w:top w:val="nil"/>
              <w:left w:val="nil"/>
              <w:bottom w:val="single" w:sz="4" w:space="0" w:color="auto"/>
              <w:right w:val="single" w:sz="4" w:space="0" w:color="auto"/>
            </w:tcBorders>
            <w:shd w:val="clear" w:color="000000" w:fill="FFFFFF"/>
            <w:vAlign w:val="bottom"/>
            <w:hideMark/>
          </w:tcPr>
          <w:p w14:paraId="3956395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3BE2A23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32%</w:t>
            </w:r>
          </w:p>
        </w:tc>
        <w:tc>
          <w:tcPr>
            <w:tcW w:w="1400" w:type="dxa"/>
            <w:tcBorders>
              <w:top w:val="nil"/>
              <w:left w:val="nil"/>
              <w:bottom w:val="single" w:sz="4" w:space="0" w:color="auto"/>
              <w:right w:val="single" w:sz="4" w:space="0" w:color="auto"/>
            </w:tcBorders>
            <w:shd w:val="clear" w:color="auto" w:fill="auto"/>
            <w:vAlign w:val="bottom"/>
            <w:hideMark/>
          </w:tcPr>
          <w:p w14:paraId="0074CE4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25.58%</w:t>
            </w:r>
          </w:p>
        </w:tc>
      </w:tr>
      <w:tr w:rsidR="00A94968" w:rsidRPr="00A94968" w14:paraId="02D93D3C"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36A003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210003</w:t>
            </w:r>
          </w:p>
        </w:tc>
        <w:tc>
          <w:tcPr>
            <w:tcW w:w="2260" w:type="dxa"/>
            <w:tcBorders>
              <w:top w:val="nil"/>
              <w:left w:val="nil"/>
              <w:bottom w:val="single" w:sz="4" w:space="0" w:color="auto"/>
              <w:right w:val="single" w:sz="4" w:space="0" w:color="auto"/>
            </w:tcBorders>
            <w:shd w:val="clear" w:color="000000" w:fill="FFFFFF"/>
            <w:vAlign w:val="bottom"/>
            <w:hideMark/>
          </w:tcPr>
          <w:p w14:paraId="04960B3E"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UM-PGHC</w:t>
            </w:r>
          </w:p>
        </w:tc>
        <w:tc>
          <w:tcPr>
            <w:tcW w:w="1400" w:type="dxa"/>
            <w:tcBorders>
              <w:top w:val="nil"/>
              <w:left w:val="nil"/>
              <w:bottom w:val="single" w:sz="4" w:space="0" w:color="auto"/>
              <w:right w:val="single" w:sz="4" w:space="0" w:color="auto"/>
            </w:tcBorders>
            <w:shd w:val="clear" w:color="000000" w:fill="FFFFFF"/>
            <w:vAlign w:val="bottom"/>
            <w:hideMark/>
          </w:tcPr>
          <w:p w14:paraId="0B3A048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w:t>
            </w:r>
          </w:p>
        </w:tc>
        <w:tc>
          <w:tcPr>
            <w:tcW w:w="1400" w:type="dxa"/>
            <w:tcBorders>
              <w:top w:val="nil"/>
              <w:left w:val="nil"/>
              <w:bottom w:val="single" w:sz="4" w:space="0" w:color="auto"/>
              <w:right w:val="single" w:sz="4" w:space="0" w:color="auto"/>
            </w:tcBorders>
            <w:shd w:val="clear" w:color="auto" w:fill="auto"/>
            <w:noWrap/>
            <w:vAlign w:val="bottom"/>
            <w:hideMark/>
          </w:tcPr>
          <w:p w14:paraId="4BCC9DA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000000" w:fill="FFFFFF"/>
            <w:vAlign w:val="bottom"/>
            <w:hideMark/>
          </w:tcPr>
          <w:p w14:paraId="03C9C3E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w:t>
            </w:r>
          </w:p>
        </w:tc>
        <w:tc>
          <w:tcPr>
            <w:tcW w:w="1400" w:type="dxa"/>
            <w:tcBorders>
              <w:top w:val="nil"/>
              <w:left w:val="nil"/>
              <w:bottom w:val="single" w:sz="4" w:space="0" w:color="auto"/>
              <w:right w:val="single" w:sz="4" w:space="0" w:color="auto"/>
            </w:tcBorders>
            <w:shd w:val="clear" w:color="000000" w:fill="FFFFFF"/>
            <w:vAlign w:val="bottom"/>
            <w:hideMark/>
          </w:tcPr>
          <w:p w14:paraId="6E6CA8F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17%</w:t>
            </w:r>
          </w:p>
        </w:tc>
        <w:tc>
          <w:tcPr>
            <w:tcW w:w="1400" w:type="dxa"/>
            <w:tcBorders>
              <w:top w:val="nil"/>
              <w:left w:val="nil"/>
              <w:bottom w:val="single" w:sz="4" w:space="0" w:color="auto"/>
              <w:right w:val="single" w:sz="4" w:space="0" w:color="auto"/>
            </w:tcBorders>
            <w:shd w:val="clear" w:color="auto" w:fill="auto"/>
            <w:vAlign w:val="bottom"/>
            <w:hideMark/>
          </w:tcPr>
          <w:p w14:paraId="5999F85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12.83%</w:t>
            </w:r>
          </w:p>
        </w:tc>
      </w:tr>
      <w:tr w:rsidR="00A94968" w:rsidRPr="00A94968" w14:paraId="668975E3"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30EE48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210004</w:t>
            </w:r>
          </w:p>
        </w:tc>
        <w:tc>
          <w:tcPr>
            <w:tcW w:w="2260" w:type="dxa"/>
            <w:tcBorders>
              <w:top w:val="nil"/>
              <w:left w:val="nil"/>
              <w:bottom w:val="single" w:sz="4" w:space="0" w:color="auto"/>
              <w:right w:val="single" w:sz="4" w:space="0" w:color="auto"/>
            </w:tcBorders>
            <w:shd w:val="clear" w:color="000000" w:fill="FFFFFF"/>
            <w:vAlign w:val="bottom"/>
            <w:hideMark/>
          </w:tcPr>
          <w:p w14:paraId="4D624F63"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Holy Cross</w:t>
            </w:r>
          </w:p>
        </w:tc>
        <w:tc>
          <w:tcPr>
            <w:tcW w:w="1400" w:type="dxa"/>
            <w:tcBorders>
              <w:top w:val="nil"/>
              <w:left w:val="nil"/>
              <w:bottom w:val="single" w:sz="4" w:space="0" w:color="auto"/>
              <w:right w:val="single" w:sz="4" w:space="0" w:color="auto"/>
            </w:tcBorders>
            <w:shd w:val="clear" w:color="000000" w:fill="FFFFFF"/>
            <w:vAlign w:val="bottom"/>
            <w:hideMark/>
          </w:tcPr>
          <w:p w14:paraId="4F8C5DD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15%</w:t>
            </w:r>
          </w:p>
        </w:tc>
        <w:tc>
          <w:tcPr>
            <w:tcW w:w="1400" w:type="dxa"/>
            <w:tcBorders>
              <w:top w:val="nil"/>
              <w:left w:val="nil"/>
              <w:bottom w:val="single" w:sz="4" w:space="0" w:color="auto"/>
              <w:right w:val="single" w:sz="4" w:space="0" w:color="auto"/>
            </w:tcBorders>
            <w:shd w:val="clear" w:color="auto" w:fill="auto"/>
            <w:noWrap/>
            <w:vAlign w:val="bottom"/>
            <w:hideMark/>
          </w:tcPr>
          <w:p w14:paraId="56F9930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3F8AE9D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0%</w:t>
            </w:r>
          </w:p>
        </w:tc>
        <w:tc>
          <w:tcPr>
            <w:tcW w:w="1400" w:type="dxa"/>
            <w:tcBorders>
              <w:top w:val="nil"/>
              <w:left w:val="nil"/>
              <w:bottom w:val="single" w:sz="4" w:space="0" w:color="auto"/>
              <w:right w:val="single" w:sz="4" w:space="0" w:color="auto"/>
            </w:tcBorders>
            <w:shd w:val="clear" w:color="000000" w:fill="FFFFFF"/>
            <w:vAlign w:val="bottom"/>
            <w:hideMark/>
          </w:tcPr>
          <w:p w14:paraId="4F396C3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18%</w:t>
            </w:r>
          </w:p>
        </w:tc>
        <w:tc>
          <w:tcPr>
            <w:tcW w:w="1400" w:type="dxa"/>
            <w:tcBorders>
              <w:top w:val="nil"/>
              <w:left w:val="nil"/>
              <w:bottom w:val="single" w:sz="4" w:space="0" w:color="auto"/>
              <w:right w:val="single" w:sz="4" w:space="0" w:color="auto"/>
            </w:tcBorders>
            <w:shd w:val="clear" w:color="auto" w:fill="auto"/>
            <w:vAlign w:val="bottom"/>
            <w:hideMark/>
          </w:tcPr>
          <w:p w14:paraId="68FA548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17.92%</w:t>
            </w:r>
          </w:p>
        </w:tc>
      </w:tr>
      <w:tr w:rsidR="00A94968" w:rsidRPr="00A94968" w14:paraId="16AD670D"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427C842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210005</w:t>
            </w:r>
          </w:p>
        </w:tc>
        <w:tc>
          <w:tcPr>
            <w:tcW w:w="2260" w:type="dxa"/>
            <w:tcBorders>
              <w:top w:val="nil"/>
              <w:left w:val="nil"/>
              <w:bottom w:val="single" w:sz="4" w:space="0" w:color="auto"/>
              <w:right w:val="single" w:sz="4" w:space="0" w:color="auto"/>
            </w:tcBorders>
            <w:shd w:val="clear" w:color="000000" w:fill="FFFFFF"/>
            <w:vAlign w:val="bottom"/>
            <w:hideMark/>
          </w:tcPr>
          <w:p w14:paraId="3DE74561"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Frederick</w:t>
            </w:r>
          </w:p>
        </w:tc>
        <w:tc>
          <w:tcPr>
            <w:tcW w:w="1400" w:type="dxa"/>
            <w:tcBorders>
              <w:top w:val="nil"/>
              <w:left w:val="nil"/>
              <w:bottom w:val="single" w:sz="4" w:space="0" w:color="auto"/>
              <w:right w:val="single" w:sz="4" w:space="0" w:color="auto"/>
            </w:tcBorders>
            <w:shd w:val="clear" w:color="000000" w:fill="FFFFFF"/>
            <w:vAlign w:val="bottom"/>
            <w:hideMark/>
          </w:tcPr>
          <w:p w14:paraId="6C5D795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auto" w:fill="auto"/>
            <w:noWrap/>
            <w:vAlign w:val="bottom"/>
            <w:hideMark/>
          </w:tcPr>
          <w:p w14:paraId="59042BE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101468E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0%</w:t>
            </w:r>
          </w:p>
        </w:tc>
        <w:tc>
          <w:tcPr>
            <w:tcW w:w="1400" w:type="dxa"/>
            <w:tcBorders>
              <w:top w:val="nil"/>
              <w:left w:val="nil"/>
              <w:bottom w:val="single" w:sz="4" w:space="0" w:color="auto"/>
              <w:right w:val="single" w:sz="4" w:space="0" w:color="auto"/>
            </w:tcBorders>
            <w:shd w:val="clear" w:color="000000" w:fill="FFFFFF"/>
            <w:vAlign w:val="bottom"/>
            <w:hideMark/>
          </w:tcPr>
          <w:p w14:paraId="7A0A0E2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35%</w:t>
            </w:r>
          </w:p>
        </w:tc>
        <w:tc>
          <w:tcPr>
            <w:tcW w:w="1400" w:type="dxa"/>
            <w:tcBorders>
              <w:top w:val="nil"/>
              <w:left w:val="nil"/>
              <w:bottom w:val="single" w:sz="4" w:space="0" w:color="auto"/>
              <w:right w:val="single" w:sz="4" w:space="0" w:color="auto"/>
            </w:tcBorders>
            <w:shd w:val="clear" w:color="auto" w:fill="auto"/>
            <w:vAlign w:val="bottom"/>
            <w:hideMark/>
          </w:tcPr>
          <w:p w14:paraId="6ECF02D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32.25%</w:t>
            </w:r>
          </w:p>
        </w:tc>
      </w:tr>
      <w:tr w:rsidR="00A94968" w:rsidRPr="00A94968" w14:paraId="6A6D6FF0"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155708F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210006</w:t>
            </w:r>
          </w:p>
        </w:tc>
        <w:tc>
          <w:tcPr>
            <w:tcW w:w="2260" w:type="dxa"/>
            <w:tcBorders>
              <w:top w:val="nil"/>
              <w:left w:val="nil"/>
              <w:bottom w:val="single" w:sz="4" w:space="0" w:color="auto"/>
              <w:right w:val="single" w:sz="4" w:space="0" w:color="auto"/>
            </w:tcBorders>
            <w:shd w:val="clear" w:color="000000" w:fill="FFFFFF"/>
            <w:vAlign w:val="bottom"/>
            <w:hideMark/>
          </w:tcPr>
          <w:p w14:paraId="46FF716D"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UM-Harford</w:t>
            </w:r>
          </w:p>
        </w:tc>
        <w:tc>
          <w:tcPr>
            <w:tcW w:w="1400" w:type="dxa"/>
            <w:tcBorders>
              <w:top w:val="nil"/>
              <w:left w:val="nil"/>
              <w:bottom w:val="single" w:sz="4" w:space="0" w:color="auto"/>
              <w:right w:val="single" w:sz="4" w:space="0" w:color="auto"/>
            </w:tcBorders>
            <w:shd w:val="clear" w:color="000000" w:fill="FFFFFF"/>
            <w:vAlign w:val="bottom"/>
            <w:hideMark/>
          </w:tcPr>
          <w:p w14:paraId="50AF34F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33%</w:t>
            </w:r>
          </w:p>
        </w:tc>
        <w:tc>
          <w:tcPr>
            <w:tcW w:w="1400" w:type="dxa"/>
            <w:tcBorders>
              <w:top w:val="nil"/>
              <w:left w:val="nil"/>
              <w:bottom w:val="single" w:sz="4" w:space="0" w:color="auto"/>
              <w:right w:val="single" w:sz="4" w:space="0" w:color="auto"/>
            </w:tcBorders>
            <w:shd w:val="clear" w:color="auto" w:fill="auto"/>
            <w:noWrap/>
            <w:vAlign w:val="bottom"/>
            <w:hideMark/>
          </w:tcPr>
          <w:p w14:paraId="6C8EF34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50%</w:t>
            </w:r>
          </w:p>
        </w:tc>
        <w:tc>
          <w:tcPr>
            <w:tcW w:w="1400" w:type="dxa"/>
            <w:tcBorders>
              <w:top w:val="nil"/>
              <w:left w:val="nil"/>
              <w:bottom w:val="single" w:sz="4" w:space="0" w:color="auto"/>
              <w:right w:val="single" w:sz="4" w:space="0" w:color="auto"/>
            </w:tcBorders>
            <w:shd w:val="clear" w:color="000000" w:fill="FFFFFF"/>
            <w:vAlign w:val="bottom"/>
            <w:hideMark/>
          </w:tcPr>
          <w:p w14:paraId="431853B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1751959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auto" w:fill="auto"/>
            <w:vAlign w:val="bottom"/>
            <w:hideMark/>
          </w:tcPr>
          <w:p w14:paraId="2FE4751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49.50%</w:t>
            </w:r>
          </w:p>
        </w:tc>
      </w:tr>
      <w:tr w:rsidR="00A94968" w:rsidRPr="00A94968" w14:paraId="1EB6858A"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36C2FF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210008</w:t>
            </w:r>
          </w:p>
        </w:tc>
        <w:tc>
          <w:tcPr>
            <w:tcW w:w="2260" w:type="dxa"/>
            <w:tcBorders>
              <w:top w:val="nil"/>
              <w:left w:val="nil"/>
              <w:bottom w:val="single" w:sz="4" w:space="0" w:color="auto"/>
              <w:right w:val="single" w:sz="4" w:space="0" w:color="auto"/>
            </w:tcBorders>
            <w:shd w:val="clear" w:color="000000" w:fill="FFFFFF"/>
            <w:vAlign w:val="bottom"/>
            <w:hideMark/>
          </w:tcPr>
          <w:p w14:paraId="6877FDA6"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Mercy</w:t>
            </w:r>
          </w:p>
        </w:tc>
        <w:tc>
          <w:tcPr>
            <w:tcW w:w="1400" w:type="dxa"/>
            <w:tcBorders>
              <w:top w:val="nil"/>
              <w:left w:val="nil"/>
              <w:bottom w:val="single" w:sz="4" w:space="0" w:color="auto"/>
              <w:right w:val="single" w:sz="4" w:space="0" w:color="auto"/>
            </w:tcBorders>
            <w:shd w:val="clear" w:color="000000" w:fill="FFFFFF"/>
            <w:vAlign w:val="bottom"/>
            <w:hideMark/>
          </w:tcPr>
          <w:p w14:paraId="5E4AC5F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39%</w:t>
            </w:r>
          </w:p>
        </w:tc>
        <w:tc>
          <w:tcPr>
            <w:tcW w:w="1400" w:type="dxa"/>
            <w:tcBorders>
              <w:top w:val="nil"/>
              <w:left w:val="nil"/>
              <w:bottom w:val="single" w:sz="4" w:space="0" w:color="auto"/>
              <w:right w:val="single" w:sz="4" w:space="0" w:color="auto"/>
            </w:tcBorders>
            <w:shd w:val="clear" w:color="auto" w:fill="auto"/>
            <w:noWrap/>
            <w:vAlign w:val="bottom"/>
            <w:hideMark/>
          </w:tcPr>
          <w:p w14:paraId="759A37F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000000" w:fill="FFFFFF"/>
            <w:vAlign w:val="bottom"/>
            <w:hideMark/>
          </w:tcPr>
          <w:p w14:paraId="38624D1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2E3401C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23%</w:t>
            </w:r>
          </w:p>
        </w:tc>
        <w:tc>
          <w:tcPr>
            <w:tcW w:w="1400" w:type="dxa"/>
            <w:tcBorders>
              <w:top w:val="nil"/>
              <w:left w:val="nil"/>
              <w:bottom w:val="single" w:sz="4" w:space="0" w:color="auto"/>
              <w:right w:val="single" w:sz="4" w:space="0" w:color="auto"/>
            </w:tcBorders>
            <w:shd w:val="clear" w:color="auto" w:fill="auto"/>
            <w:vAlign w:val="bottom"/>
            <w:hideMark/>
          </w:tcPr>
          <w:p w14:paraId="1C34553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38.17%</w:t>
            </w:r>
          </w:p>
        </w:tc>
      </w:tr>
      <w:tr w:rsidR="00A94968" w:rsidRPr="00A94968" w14:paraId="657726CE"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5B2DAF1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210009</w:t>
            </w:r>
          </w:p>
        </w:tc>
        <w:tc>
          <w:tcPr>
            <w:tcW w:w="2260" w:type="dxa"/>
            <w:tcBorders>
              <w:top w:val="nil"/>
              <w:left w:val="nil"/>
              <w:bottom w:val="single" w:sz="4" w:space="0" w:color="auto"/>
              <w:right w:val="single" w:sz="4" w:space="0" w:color="auto"/>
            </w:tcBorders>
            <w:shd w:val="clear" w:color="000000" w:fill="FFFFFF"/>
            <w:vAlign w:val="bottom"/>
            <w:hideMark/>
          </w:tcPr>
          <w:p w14:paraId="02A2C26D"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Johns Hopkins</w:t>
            </w:r>
          </w:p>
        </w:tc>
        <w:tc>
          <w:tcPr>
            <w:tcW w:w="1400" w:type="dxa"/>
            <w:tcBorders>
              <w:top w:val="nil"/>
              <w:left w:val="nil"/>
              <w:bottom w:val="single" w:sz="4" w:space="0" w:color="auto"/>
              <w:right w:val="single" w:sz="4" w:space="0" w:color="auto"/>
            </w:tcBorders>
            <w:shd w:val="clear" w:color="000000" w:fill="FFFFFF"/>
            <w:vAlign w:val="bottom"/>
            <w:hideMark/>
          </w:tcPr>
          <w:p w14:paraId="3909847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43%</w:t>
            </w:r>
          </w:p>
        </w:tc>
        <w:tc>
          <w:tcPr>
            <w:tcW w:w="1400" w:type="dxa"/>
            <w:tcBorders>
              <w:top w:val="nil"/>
              <w:left w:val="nil"/>
              <w:bottom w:val="single" w:sz="4" w:space="0" w:color="auto"/>
              <w:right w:val="single" w:sz="4" w:space="0" w:color="auto"/>
            </w:tcBorders>
            <w:shd w:val="clear" w:color="auto" w:fill="auto"/>
            <w:noWrap/>
            <w:vAlign w:val="bottom"/>
            <w:hideMark/>
          </w:tcPr>
          <w:p w14:paraId="3D2CDF1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30%</w:t>
            </w:r>
          </w:p>
        </w:tc>
        <w:tc>
          <w:tcPr>
            <w:tcW w:w="1400" w:type="dxa"/>
            <w:tcBorders>
              <w:top w:val="nil"/>
              <w:left w:val="nil"/>
              <w:bottom w:val="single" w:sz="4" w:space="0" w:color="auto"/>
              <w:right w:val="single" w:sz="4" w:space="0" w:color="auto"/>
            </w:tcBorders>
            <w:shd w:val="clear" w:color="000000" w:fill="FFFFFF"/>
            <w:vAlign w:val="bottom"/>
            <w:hideMark/>
          </w:tcPr>
          <w:p w14:paraId="7D7870B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w:t>
            </w:r>
          </w:p>
        </w:tc>
        <w:tc>
          <w:tcPr>
            <w:tcW w:w="1400" w:type="dxa"/>
            <w:tcBorders>
              <w:top w:val="nil"/>
              <w:left w:val="nil"/>
              <w:bottom w:val="single" w:sz="4" w:space="0" w:color="auto"/>
              <w:right w:val="single" w:sz="4" w:space="0" w:color="auto"/>
            </w:tcBorders>
            <w:shd w:val="clear" w:color="000000" w:fill="FFFFFF"/>
            <w:vAlign w:val="bottom"/>
            <w:hideMark/>
          </w:tcPr>
          <w:p w14:paraId="10890F2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23%</w:t>
            </w:r>
          </w:p>
        </w:tc>
        <w:tc>
          <w:tcPr>
            <w:tcW w:w="1400" w:type="dxa"/>
            <w:tcBorders>
              <w:top w:val="nil"/>
              <w:left w:val="nil"/>
              <w:bottom w:val="single" w:sz="4" w:space="0" w:color="auto"/>
              <w:right w:val="single" w:sz="4" w:space="0" w:color="auto"/>
            </w:tcBorders>
            <w:shd w:val="clear" w:color="auto" w:fill="auto"/>
            <w:vAlign w:val="bottom"/>
            <w:hideMark/>
          </w:tcPr>
          <w:p w14:paraId="7515EEC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34.17%</w:t>
            </w:r>
          </w:p>
        </w:tc>
      </w:tr>
      <w:tr w:rsidR="00A94968" w:rsidRPr="00A94968" w14:paraId="192C07AC"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2718A24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210010</w:t>
            </w:r>
          </w:p>
        </w:tc>
        <w:tc>
          <w:tcPr>
            <w:tcW w:w="2260" w:type="dxa"/>
            <w:tcBorders>
              <w:top w:val="nil"/>
              <w:left w:val="nil"/>
              <w:bottom w:val="single" w:sz="4" w:space="0" w:color="auto"/>
              <w:right w:val="single" w:sz="4" w:space="0" w:color="auto"/>
            </w:tcBorders>
            <w:shd w:val="clear" w:color="000000" w:fill="FFFFFF"/>
            <w:vAlign w:val="bottom"/>
            <w:hideMark/>
          </w:tcPr>
          <w:p w14:paraId="77153CED"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UM-Dorchester</w:t>
            </w:r>
          </w:p>
        </w:tc>
        <w:tc>
          <w:tcPr>
            <w:tcW w:w="1400" w:type="dxa"/>
            <w:tcBorders>
              <w:top w:val="nil"/>
              <w:left w:val="nil"/>
              <w:bottom w:val="single" w:sz="4" w:space="0" w:color="auto"/>
              <w:right w:val="single" w:sz="4" w:space="0" w:color="auto"/>
            </w:tcBorders>
            <w:shd w:val="clear" w:color="000000" w:fill="FFFFFF"/>
            <w:vAlign w:val="bottom"/>
            <w:hideMark/>
          </w:tcPr>
          <w:p w14:paraId="04CF3B7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27%</w:t>
            </w:r>
          </w:p>
        </w:tc>
        <w:tc>
          <w:tcPr>
            <w:tcW w:w="1400" w:type="dxa"/>
            <w:tcBorders>
              <w:top w:val="nil"/>
              <w:left w:val="nil"/>
              <w:bottom w:val="single" w:sz="4" w:space="0" w:color="auto"/>
              <w:right w:val="single" w:sz="4" w:space="0" w:color="auto"/>
            </w:tcBorders>
            <w:shd w:val="clear" w:color="auto" w:fill="auto"/>
            <w:noWrap/>
            <w:vAlign w:val="bottom"/>
            <w:hideMark/>
          </w:tcPr>
          <w:p w14:paraId="1D294FA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50%</w:t>
            </w:r>
          </w:p>
        </w:tc>
        <w:tc>
          <w:tcPr>
            <w:tcW w:w="1400" w:type="dxa"/>
            <w:tcBorders>
              <w:top w:val="nil"/>
              <w:left w:val="nil"/>
              <w:bottom w:val="single" w:sz="4" w:space="0" w:color="auto"/>
              <w:right w:val="single" w:sz="4" w:space="0" w:color="auto"/>
            </w:tcBorders>
            <w:shd w:val="clear" w:color="000000" w:fill="FFFFFF"/>
            <w:vAlign w:val="bottom"/>
            <w:hideMark/>
          </w:tcPr>
          <w:p w14:paraId="54E2549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09D446A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45%</w:t>
            </w:r>
          </w:p>
        </w:tc>
        <w:tc>
          <w:tcPr>
            <w:tcW w:w="1400" w:type="dxa"/>
            <w:tcBorders>
              <w:top w:val="nil"/>
              <w:left w:val="nil"/>
              <w:bottom w:val="single" w:sz="4" w:space="0" w:color="auto"/>
              <w:right w:val="single" w:sz="4" w:space="0" w:color="auto"/>
            </w:tcBorders>
            <w:shd w:val="clear" w:color="auto" w:fill="auto"/>
            <w:vAlign w:val="bottom"/>
            <w:hideMark/>
          </w:tcPr>
          <w:p w14:paraId="2FA6482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38.75%</w:t>
            </w:r>
          </w:p>
        </w:tc>
      </w:tr>
      <w:tr w:rsidR="00A94968" w:rsidRPr="00A94968" w14:paraId="1AE3CE05"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492F07B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210011</w:t>
            </w:r>
          </w:p>
        </w:tc>
        <w:tc>
          <w:tcPr>
            <w:tcW w:w="2260" w:type="dxa"/>
            <w:tcBorders>
              <w:top w:val="nil"/>
              <w:left w:val="nil"/>
              <w:bottom w:val="single" w:sz="4" w:space="0" w:color="auto"/>
              <w:right w:val="single" w:sz="4" w:space="0" w:color="auto"/>
            </w:tcBorders>
            <w:shd w:val="clear" w:color="000000" w:fill="FFFFFF"/>
            <w:vAlign w:val="bottom"/>
            <w:hideMark/>
          </w:tcPr>
          <w:p w14:paraId="2C487E41"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St. Agnes</w:t>
            </w:r>
          </w:p>
        </w:tc>
        <w:tc>
          <w:tcPr>
            <w:tcW w:w="1400" w:type="dxa"/>
            <w:tcBorders>
              <w:top w:val="nil"/>
              <w:left w:val="nil"/>
              <w:bottom w:val="single" w:sz="4" w:space="0" w:color="auto"/>
              <w:right w:val="single" w:sz="4" w:space="0" w:color="auto"/>
            </w:tcBorders>
            <w:shd w:val="clear" w:color="000000" w:fill="FFFFFF"/>
            <w:vAlign w:val="bottom"/>
            <w:hideMark/>
          </w:tcPr>
          <w:p w14:paraId="74205DF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19%</w:t>
            </w:r>
          </w:p>
        </w:tc>
        <w:tc>
          <w:tcPr>
            <w:tcW w:w="1400" w:type="dxa"/>
            <w:tcBorders>
              <w:top w:val="nil"/>
              <w:left w:val="nil"/>
              <w:bottom w:val="single" w:sz="4" w:space="0" w:color="auto"/>
              <w:right w:val="single" w:sz="4" w:space="0" w:color="auto"/>
            </w:tcBorders>
            <w:shd w:val="clear" w:color="auto" w:fill="auto"/>
            <w:noWrap/>
            <w:vAlign w:val="bottom"/>
            <w:hideMark/>
          </w:tcPr>
          <w:p w14:paraId="18C21BE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69B5764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7186C02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35%</w:t>
            </w:r>
          </w:p>
        </w:tc>
        <w:tc>
          <w:tcPr>
            <w:tcW w:w="1400" w:type="dxa"/>
            <w:tcBorders>
              <w:top w:val="nil"/>
              <w:left w:val="nil"/>
              <w:bottom w:val="single" w:sz="4" w:space="0" w:color="auto"/>
              <w:right w:val="single" w:sz="4" w:space="0" w:color="auto"/>
            </w:tcBorders>
            <w:shd w:val="clear" w:color="auto" w:fill="auto"/>
            <w:vAlign w:val="bottom"/>
            <w:hideMark/>
          </w:tcPr>
          <w:p w14:paraId="598693E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30.25%</w:t>
            </w:r>
          </w:p>
        </w:tc>
      </w:tr>
      <w:tr w:rsidR="00A94968" w:rsidRPr="00A94968" w14:paraId="7DC96C89"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06360E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210012</w:t>
            </w:r>
          </w:p>
        </w:tc>
        <w:tc>
          <w:tcPr>
            <w:tcW w:w="2260" w:type="dxa"/>
            <w:tcBorders>
              <w:top w:val="nil"/>
              <w:left w:val="nil"/>
              <w:bottom w:val="single" w:sz="4" w:space="0" w:color="auto"/>
              <w:right w:val="single" w:sz="4" w:space="0" w:color="auto"/>
            </w:tcBorders>
            <w:shd w:val="clear" w:color="000000" w:fill="FFFFFF"/>
            <w:vAlign w:val="bottom"/>
            <w:hideMark/>
          </w:tcPr>
          <w:p w14:paraId="6F890B2D"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Sinai</w:t>
            </w:r>
          </w:p>
        </w:tc>
        <w:tc>
          <w:tcPr>
            <w:tcW w:w="1400" w:type="dxa"/>
            <w:tcBorders>
              <w:top w:val="nil"/>
              <w:left w:val="nil"/>
              <w:bottom w:val="single" w:sz="4" w:space="0" w:color="auto"/>
              <w:right w:val="single" w:sz="4" w:space="0" w:color="auto"/>
            </w:tcBorders>
            <w:shd w:val="clear" w:color="000000" w:fill="FFFFFF"/>
            <w:vAlign w:val="bottom"/>
            <w:hideMark/>
          </w:tcPr>
          <w:p w14:paraId="777EC35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15%</w:t>
            </w:r>
          </w:p>
        </w:tc>
        <w:tc>
          <w:tcPr>
            <w:tcW w:w="1400" w:type="dxa"/>
            <w:tcBorders>
              <w:top w:val="nil"/>
              <w:left w:val="nil"/>
              <w:bottom w:val="single" w:sz="4" w:space="0" w:color="auto"/>
              <w:right w:val="single" w:sz="4" w:space="0" w:color="auto"/>
            </w:tcBorders>
            <w:shd w:val="clear" w:color="auto" w:fill="auto"/>
            <w:noWrap/>
            <w:vAlign w:val="bottom"/>
            <w:hideMark/>
          </w:tcPr>
          <w:p w14:paraId="5517F1E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000000" w:fill="FFFFFF"/>
            <w:vAlign w:val="bottom"/>
            <w:hideMark/>
          </w:tcPr>
          <w:p w14:paraId="12A9533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04EB16D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33%</w:t>
            </w:r>
          </w:p>
        </w:tc>
        <w:tc>
          <w:tcPr>
            <w:tcW w:w="1400" w:type="dxa"/>
            <w:tcBorders>
              <w:top w:val="nil"/>
              <w:left w:val="nil"/>
              <w:bottom w:val="single" w:sz="4" w:space="0" w:color="auto"/>
              <w:right w:val="single" w:sz="4" w:space="0" w:color="auto"/>
            </w:tcBorders>
            <w:shd w:val="clear" w:color="auto" w:fill="auto"/>
            <w:vAlign w:val="bottom"/>
            <w:hideMark/>
          </w:tcPr>
          <w:p w14:paraId="49D7FB1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26.17%</w:t>
            </w:r>
          </w:p>
        </w:tc>
      </w:tr>
      <w:tr w:rsidR="00A94968" w:rsidRPr="00A94968" w14:paraId="012F045B"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355BE4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210013</w:t>
            </w:r>
          </w:p>
        </w:tc>
        <w:tc>
          <w:tcPr>
            <w:tcW w:w="2260" w:type="dxa"/>
            <w:tcBorders>
              <w:top w:val="nil"/>
              <w:left w:val="nil"/>
              <w:bottom w:val="single" w:sz="4" w:space="0" w:color="auto"/>
              <w:right w:val="single" w:sz="4" w:space="0" w:color="auto"/>
            </w:tcBorders>
            <w:shd w:val="clear" w:color="000000" w:fill="FFFFFF"/>
            <w:vAlign w:val="bottom"/>
            <w:hideMark/>
          </w:tcPr>
          <w:p w14:paraId="7B718307"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Bon Secours</w:t>
            </w:r>
          </w:p>
        </w:tc>
        <w:tc>
          <w:tcPr>
            <w:tcW w:w="1400" w:type="dxa"/>
            <w:tcBorders>
              <w:top w:val="nil"/>
              <w:left w:val="nil"/>
              <w:bottom w:val="single" w:sz="4" w:space="0" w:color="auto"/>
              <w:right w:val="single" w:sz="4" w:space="0" w:color="auto"/>
            </w:tcBorders>
            <w:shd w:val="clear" w:color="000000" w:fill="FFFFFF"/>
            <w:vAlign w:val="bottom"/>
            <w:hideMark/>
          </w:tcPr>
          <w:p w14:paraId="4CBCB08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36%</w:t>
            </w:r>
          </w:p>
        </w:tc>
        <w:tc>
          <w:tcPr>
            <w:tcW w:w="1400" w:type="dxa"/>
            <w:tcBorders>
              <w:top w:val="nil"/>
              <w:left w:val="nil"/>
              <w:bottom w:val="single" w:sz="4" w:space="0" w:color="auto"/>
              <w:right w:val="single" w:sz="4" w:space="0" w:color="auto"/>
            </w:tcBorders>
            <w:shd w:val="clear" w:color="auto" w:fill="auto"/>
            <w:noWrap/>
            <w:vAlign w:val="bottom"/>
            <w:hideMark/>
          </w:tcPr>
          <w:p w14:paraId="7DCE321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50%</w:t>
            </w:r>
          </w:p>
        </w:tc>
        <w:tc>
          <w:tcPr>
            <w:tcW w:w="1400" w:type="dxa"/>
            <w:tcBorders>
              <w:top w:val="nil"/>
              <w:left w:val="nil"/>
              <w:bottom w:val="single" w:sz="4" w:space="0" w:color="auto"/>
              <w:right w:val="single" w:sz="4" w:space="0" w:color="auto"/>
            </w:tcBorders>
            <w:shd w:val="clear" w:color="000000" w:fill="FFFFFF"/>
            <w:vAlign w:val="bottom"/>
            <w:hideMark/>
          </w:tcPr>
          <w:p w14:paraId="6A649BE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w:t>
            </w:r>
          </w:p>
        </w:tc>
        <w:tc>
          <w:tcPr>
            <w:tcW w:w="1400" w:type="dxa"/>
            <w:tcBorders>
              <w:top w:val="nil"/>
              <w:left w:val="nil"/>
              <w:bottom w:val="single" w:sz="4" w:space="0" w:color="auto"/>
              <w:right w:val="single" w:sz="4" w:space="0" w:color="auto"/>
            </w:tcBorders>
            <w:shd w:val="clear" w:color="000000" w:fill="FFFFFF"/>
            <w:vAlign w:val="bottom"/>
            <w:hideMark/>
          </w:tcPr>
          <w:p w14:paraId="30BD0CF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23%</w:t>
            </w:r>
          </w:p>
        </w:tc>
        <w:tc>
          <w:tcPr>
            <w:tcW w:w="1400" w:type="dxa"/>
            <w:tcBorders>
              <w:top w:val="nil"/>
              <w:left w:val="nil"/>
              <w:bottom w:val="single" w:sz="4" w:space="0" w:color="auto"/>
              <w:right w:val="single" w:sz="4" w:space="0" w:color="auto"/>
            </w:tcBorders>
            <w:shd w:val="clear" w:color="auto" w:fill="auto"/>
            <w:vAlign w:val="bottom"/>
            <w:hideMark/>
          </w:tcPr>
          <w:p w14:paraId="5FA612E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33.67%</w:t>
            </w:r>
          </w:p>
        </w:tc>
      </w:tr>
      <w:tr w:rsidR="00A94968" w:rsidRPr="00A94968" w14:paraId="74C2B46F"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3C6B68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210015</w:t>
            </w:r>
          </w:p>
        </w:tc>
        <w:tc>
          <w:tcPr>
            <w:tcW w:w="2260" w:type="dxa"/>
            <w:tcBorders>
              <w:top w:val="nil"/>
              <w:left w:val="nil"/>
              <w:bottom w:val="single" w:sz="4" w:space="0" w:color="auto"/>
              <w:right w:val="single" w:sz="4" w:space="0" w:color="auto"/>
            </w:tcBorders>
            <w:shd w:val="clear" w:color="000000" w:fill="FFFFFF"/>
            <w:vAlign w:val="bottom"/>
            <w:hideMark/>
          </w:tcPr>
          <w:p w14:paraId="79553DF8"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Fr Square</w:t>
            </w:r>
          </w:p>
        </w:tc>
        <w:tc>
          <w:tcPr>
            <w:tcW w:w="1400" w:type="dxa"/>
            <w:tcBorders>
              <w:top w:val="nil"/>
              <w:left w:val="nil"/>
              <w:bottom w:val="single" w:sz="4" w:space="0" w:color="auto"/>
              <w:right w:val="single" w:sz="4" w:space="0" w:color="auto"/>
            </w:tcBorders>
            <w:shd w:val="clear" w:color="000000" w:fill="FFFFFF"/>
            <w:vAlign w:val="bottom"/>
            <w:hideMark/>
          </w:tcPr>
          <w:p w14:paraId="5637522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33%</w:t>
            </w:r>
          </w:p>
        </w:tc>
        <w:tc>
          <w:tcPr>
            <w:tcW w:w="1400" w:type="dxa"/>
            <w:tcBorders>
              <w:top w:val="nil"/>
              <w:left w:val="nil"/>
              <w:bottom w:val="single" w:sz="4" w:space="0" w:color="auto"/>
              <w:right w:val="single" w:sz="4" w:space="0" w:color="auto"/>
            </w:tcBorders>
            <w:shd w:val="clear" w:color="auto" w:fill="auto"/>
            <w:noWrap/>
            <w:vAlign w:val="bottom"/>
            <w:hideMark/>
          </w:tcPr>
          <w:p w14:paraId="2356A05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4D51259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3D1B9D0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62%</w:t>
            </w:r>
          </w:p>
        </w:tc>
        <w:tc>
          <w:tcPr>
            <w:tcW w:w="1400" w:type="dxa"/>
            <w:tcBorders>
              <w:top w:val="nil"/>
              <w:left w:val="nil"/>
              <w:bottom w:val="single" w:sz="4" w:space="0" w:color="auto"/>
              <w:right w:val="single" w:sz="4" w:space="0" w:color="auto"/>
            </w:tcBorders>
            <w:shd w:val="clear" w:color="auto" w:fill="auto"/>
            <w:vAlign w:val="bottom"/>
            <w:hideMark/>
          </w:tcPr>
          <w:p w14:paraId="6763A52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50.08%</w:t>
            </w:r>
          </w:p>
        </w:tc>
      </w:tr>
      <w:tr w:rsidR="00A94968" w:rsidRPr="00A94968" w14:paraId="13759F9D"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C90F12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210016</w:t>
            </w:r>
          </w:p>
        </w:tc>
        <w:tc>
          <w:tcPr>
            <w:tcW w:w="2260" w:type="dxa"/>
            <w:tcBorders>
              <w:top w:val="nil"/>
              <w:left w:val="nil"/>
              <w:bottom w:val="single" w:sz="4" w:space="0" w:color="auto"/>
              <w:right w:val="single" w:sz="4" w:space="0" w:color="auto"/>
            </w:tcBorders>
            <w:shd w:val="clear" w:color="000000" w:fill="FFFFFF"/>
            <w:vAlign w:val="bottom"/>
            <w:hideMark/>
          </w:tcPr>
          <w:p w14:paraId="0F80FFBA"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Washington Adventist</w:t>
            </w:r>
          </w:p>
        </w:tc>
        <w:tc>
          <w:tcPr>
            <w:tcW w:w="1400" w:type="dxa"/>
            <w:tcBorders>
              <w:top w:val="nil"/>
              <w:left w:val="nil"/>
              <w:bottom w:val="single" w:sz="4" w:space="0" w:color="auto"/>
              <w:right w:val="single" w:sz="4" w:space="0" w:color="auto"/>
            </w:tcBorders>
            <w:shd w:val="clear" w:color="000000" w:fill="FFFFFF"/>
            <w:vAlign w:val="bottom"/>
            <w:hideMark/>
          </w:tcPr>
          <w:p w14:paraId="62DF34D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w:t>
            </w:r>
          </w:p>
        </w:tc>
        <w:tc>
          <w:tcPr>
            <w:tcW w:w="1400" w:type="dxa"/>
            <w:tcBorders>
              <w:top w:val="nil"/>
              <w:left w:val="nil"/>
              <w:bottom w:val="single" w:sz="4" w:space="0" w:color="auto"/>
              <w:right w:val="single" w:sz="4" w:space="0" w:color="auto"/>
            </w:tcBorders>
            <w:shd w:val="clear" w:color="auto" w:fill="auto"/>
            <w:noWrap/>
            <w:vAlign w:val="bottom"/>
            <w:hideMark/>
          </w:tcPr>
          <w:p w14:paraId="27FB3E1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6C8A3A0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0DE1A69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auto" w:fill="auto"/>
            <w:vAlign w:val="bottom"/>
            <w:hideMark/>
          </w:tcPr>
          <w:p w14:paraId="24C0CC9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40.00%</w:t>
            </w:r>
          </w:p>
        </w:tc>
      </w:tr>
      <w:tr w:rsidR="00A94968" w:rsidRPr="00A94968" w14:paraId="2735A351"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22790CF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210017</w:t>
            </w:r>
          </w:p>
        </w:tc>
        <w:tc>
          <w:tcPr>
            <w:tcW w:w="2260" w:type="dxa"/>
            <w:tcBorders>
              <w:top w:val="nil"/>
              <w:left w:val="nil"/>
              <w:bottom w:val="single" w:sz="4" w:space="0" w:color="auto"/>
              <w:right w:val="single" w:sz="4" w:space="0" w:color="auto"/>
            </w:tcBorders>
            <w:shd w:val="clear" w:color="000000" w:fill="FFFFFF"/>
            <w:vAlign w:val="bottom"/>
            <w:hideMark/>
          </w:tcPr>
          <w:p w14:paraId="18F281A0"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Garrett</w:t>
            </w:r>
          </w:p>
        </w:tc>
        <w:tc>
          <w:tcPr>
            <w:tcW w:w="1400" w:type="dxa"/>
            <w:tcBorders>
              <w:top w:val="nil"/>
              <w:left w:val="nil"/>
              <w:bottom w:val="single" w:sz="4" w:space="0" w:color="auto"/>
              <w:right w:val="single" w:sz="4" w:space="0" w:color="auto"/>
            </w:tcBorders>
            <w:shd w:val="clear" w:color="000000" w:fill="FFFFFF"/>
            <w:vAlign w:val="bottom"/>
            <w:hideMark/>
          </w:tcPr>
          <w:p w14:paraId="2A63853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47%</w:t>
            </w:r>
          </w:p>
        </w:tc>
        <w:tc>
          <w:tcPr>
            <w:tcW w:w="1400" w:type="dxa"/>
            <w:tcBorders>
              <w:top w:val="nil"/>
              <w:left w:val="nil"/>
              <w:bottom w:val="single" w:sz="4" w:space="0" w:color="auto"/>
              <w:right w:val="single" w:sz="4" w:space="0" w:color="auto"/>
            </w:tcBorders>
            <w:shd w:val="clear" w:color="auto" w:fill="auto"/>
            <w:noWrap/>
            <w:vAlign w:val="bottom"/>
            <w:hideMark/>
          </w:tcPr>
          <w:p w14:paraId="46FA10E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000000" w:fill="FFFFFF"/>
            <w:vAlign w:val="bottom"/>
            <w:hideMark/>
          </w:tcPr>
          <w:p w14:paraId="026849A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75DEB20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auto"/>
            <w:vAlign w:val="bottom"/>
            <w:hideMark/>
          </w:tcPr>
          <w:p w14:paraId="7B5FD9D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44.89%</w:t>
            </w:r>
          </w:p>
        </w:tc>
      </w:tr>
      <w:tr w:rsidR="00A94968" w:rsidRPr="00A94968" w14:paraId="6344EF6E"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4FC71E8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210018</w:t>
            </w:r>
          </w:p>
        </w:tc>
        <w:tc>
          <w:tcPr>
            <w:tcW w:w="2260" w:type="dxa"/>
            <w:tcBorders>
              <w:top w:val="nil"/>
              <w:left w:val="nil"/>
              <w:bottom w:val="single" w:sz="4" w:space="0" w:color="auto"/>
              <w:right w:val="single" w:sz="4" w:space="0" w:color="auto"/>
            </w:tcBorders>
            <w:shd w:val="clear" w:color="000000" w:fill="FFFFFF"/>
            <w:vAlign w:val="bottom"/>
            <w:hideMark/>
          </w:tcPr>
          <w:p w14:paraId="24EB4BE2"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Montgomery</w:t>
            </w:r>
          </w:p>
        </w:tc>
        <w:tc>
          <w:tcPr>
            <w:tcW w:w="1400" w:type="dxa"/>
            <w:tcBorders>
              <w:top w:val="nil"/>
              <w:left w:val="nil"/>
              <w:bottom w:val="single" w:sz="4" w:space="0" w:color="auto"/>
              <w:right w:val="single" w:sz="4" w:space="0" w:color="auto"/>
            </w:tcBorders>
            <w:shd w:val="clear" w:color="000000" w:fill="FFFFFF"/>
            <w:vAlign w:val="bottom"/>
            <w:hideMark/>
          </w:tcPr>
          <w:p w14:paraId="71CAD5F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15%</w:t>
            </w:r>
          </w:p>
        </w:tc>
        <w:tc>
          <w:tcPr>
            <w:tcW w:w="1400" w:type="dxa"/>
            <w:tcBorders>
              <w:top w:val="nil"/>
              <w:left w:val="nil"/>
              <w:bottom w:val="single" w:sz="4" w:space="0" w:color="auto"/>
              <w:right w:val="single" w:sz="4" w:space="0" w:color="auto"/>
            </w:tcBorders>
            <w:shd w:val="clear" w:color="auto" w:fill="auto"/>
            <w:noWrap/>
            <w:vAlign w:val="bottom"/>
            <w:hideMark/>
          </w:tcPr>
          <w:p w14:paraId="0D7F862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30%</w:t>
            </w:r>
          </w:p>
        </w:tc>
        <w:tc>
          <w:tcPr>
            <w:tcW w:w="1400" w:type="dxa"/>
            <w:tcBorders>
              <w:top w:val="nil"/>
              <w:left w:val="nil"/>
              <w:bottom w:val="single" w:sz="4" w:space="0" w:color="auto"/>
              <w:right w:val="single" w:sz="4" w:space="0" w:color="auto"/>
            </w:tcBorders>
            <w:shd w:val="clear" w:color="000000" w:fill="FFFFFF"/>
            <w:vAlign w:val="bottom"/>
            <w:hideMark/>
          </w:tcPr>
          <w:p w14:paraId="70495D5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498F3CD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auto" w:fill="auto"/>
            <w:vAlign w:val="bottom"/>
            <w:hideMark/>
          </w:tcPr>
          <w:p w14:paraId="171D8A0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35.00%</w:t>
            </w:r>
          </w:p>
        </w:tc>
      </w:tr>
      <w:tr w:rsidR="00A94968" w:rsidRPr="00A94968" w14:paraId="3CAFF6F4"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6A2345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210019</w:t>
            </w:r>
          </w:p>
        </w:tc>
        <w:tc>
          <w:tcPr>
            <w:tcW w:w="2260" w:type="dxa"/>
            <w:tcBorders>
              <w:top w:val="nil"/>
              <w:left w:val="nil"/>
              <w:bottom w:val="single" w:sz="4" w:space="0" w:color="auto"/>
              <w:right w:val="single" w:sz="4" w:space="0" w:color="auto"/>
            </w:tcBorders>
            <w:shd w:val="clear" w:color="000000" w:fill="FFFFFF"/>
            <w:vAlign w:val="bottom"/>
            <w:hideMark/>
          </w:tcPr>
          <w:p w14:paraId="77BEBE3A"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Peninsula</w:t>
            </w:r>
          </w:p>
        </w:tc>
        <w:tc>
          <w:tcPr>
            <w:tcW w:w="1400" w:type="dxa"/>
            <w:tcBorders>
              <w:top w:val="nil"/>
              <w:left w:val="nil"/>
              <w:bottom w:val="single" w:sz="4" w:space="0" w:color="auto"/>
              <w:right w:val="single" w:sz="4" w:space="0" w:color="auto"/>
            </w:tcBorders>
            <w:shd w:val="clear" w:color="000000" w:fill="FFFFFF"/>
            <w:vAlign w:val="bottom"/>
            <w:hideMark/>
          </w:tcPr>
          <w:p w14:paraId="6B94A1F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30%</w:t>
            </w:r>
          </w:p>
        </w:tc>
        <w:tc>
          <w:tcPr>
            <w:tcW w:w="1400" w:type="dxa"/>
            <w:tcBorders>
              <w:top w:val="nil"/>
              <w:left w:val="nil"/>
              <w:bottom w:val="single" w:sz="4" w:space="0" w:color="auto"/>
              <w:right w:val="single" w:sz="4" w:space="0" w:color="auto"/>
            </w:tcBorders>
            <w:shd w:val="clear" w:color="auto" w:fill="auto"/>
            <w:noWrap/>
            <w:vAlign w:val="bottom"/>
            <w:hideMark/>
          </w:tcPr>
          <w:p w14:paraId="40176EE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5E0687D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3B95D02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27%</w:t>
            </w:r>
          </w:p>
        </w:tc>
        <w:tc>
          <w:tcPr>
            <w:tcW w:w="1400" w:type="dxa"/>
            <w:tcBorders>
              <w:top w:val="nil"/>
              <w:left w:val="nil"/>
              <w:bottom w:val="single" w:sz="4" w:space="0" w:color="auto"/>
              <w:right w:val="single" w:sz="4" w:space="0" w:color="auto"/>
            </w:tcBorders>
            <w:shd w:val="clear" w:color="auto" w:fill="auto"/>
            <w:vAlign w:val="bottom"/>
            <w:hideMark/>
          </w:tcPr>
          <w:p w14:paraId="7D5EE62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36.33%</w:t>
            </w:r>
          </w:p>
        </w:tc>
      </w:tr>
      <w:tr w:rsidR="00A94968" w:rsidRPr="00A94968" w14:paraId="22FE8F15"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45A1BC7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210022</w:t>
            </w:r>
          </w:p>
        </w:tc>
        <w:tc>
          <w:tcPr>
            <w:tcW w:w="2260" w:type="dxa"/>
            <w:tcBorders>
              <w:top w:val="nil"/>
              <w:left w:val="nil"/>
              <w:bottom w:val="single" w:sz="4" w:space="0" w:color="auto"/>
              <w:right w:val="single" w:sz="4" w:space="0" w:color="auto"/>
            </w:tcBorders>
            <w:shd w:val="clear" w:color="000000" w:fill="FFFFFF"/>
            <w:vAlign w:val="bottom"/>
            <w:hideMark/>
          </w:tcPr>
          <w:p w14:paraId="68C8FD0C"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Suburban</w:t>
            </w:r>
          </w:p>
        </w:tc>
        <w:tc>
          <w:tcPr>
            <w:tcW w:w="1400" w:type="dxa"/>
            <w:tcBorders>
              <w:top w:val="nil"/>
              <w:left w:val="nil"/>
              <w:bottom w:val="single" w:sz="4" w:space="0" w:color="auto"/>
              <w:right w:val="single" w:sz="4" w:space="0" w:color="auto"/>
            </w:tcBorders>
            <w:shd w:val="clear" w:color="000000" w:fill="FFFFFF"/>
            <w:vAlign w:val="bottom"/>
            <w:hideMark/>
          </w:tcPr>
          <w:p w14:paraId="01A095F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w:t>
            </w:r>
          </w:p>
        </w:tc>
        <w:tc>
          <w:tcPr>
            <w:tcW w:w="1400" w:type="dxa"/>
            <w:tcBorders>
              <w:top w:val="nil"/>
              <w:left w:val="nil"/>
              <w:bottom w:val="single" w:sz="4" w:space="0" w:color="auto"/>
              <w:right w:val="single" w:sz="4" w:space="0" w:color="auto"/>
            </w:tcBorders>
            <w:shd w:val="clear" w:color="auto" w:fill="auto"/>
            <w:noWrap/>
            <w:vAlign w:val="bottom"/>
            <w:hideMark/>
          </w:tcPr>
          <w:p w14:paraId="08A51D9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000000" w:fill="FFFFFF"/>
            <w:vAlign w:val="bottom"/>
            <w:hideMark/>
          </w:tcPr>
          <w:p w14:paraId="416BDD1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620D1D5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18%</w:t>
            </w:r>
          </w:p>
        </w:tc>
        <w:tc>
          <w:tcPr>
            <w:tcW w:w="1400" w:type="dxa"/>
            <w:tcBorders>
              <w:top w:val="nil"/>
              <w:left w:val="nil"/>
              <w:bottom w:val="single" w:sz="4" w:space="0" w:color="auto"/>
              <w:right w:val="single" w:sz="4" w:space="0" w:color="auto"/>
            </w:tcBorders>
            <w:shd w:val="clear" w:color="auto" w:fill="auto"/>
            <w:vAlign w:val="bottom"/>
            <w:hideMark/>
          </w:tcPr>
          <w:p w14:paraId="2C2BAFA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23.80%</w:t>
            </w:r>
          </w:p>
        </w:tc>
      </w:tr>
      <w:tr w:rsidR="00A94968" w:rsidRPr="00A94968" w14:paraId="69D04290"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1AC3E44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210023</w:t>
            </w:r>
          </w:p>
        </w:tc>
        <w:tc>
          <w:tcPr>
            <w:tcW w:w="2260" w:type="dxa"/>
            <w:tcBorders>
              <w:top w:val="nil"/>
              <w:left w:val="nil"/>
              <w:bottom w:val="single" w:sz="4" w:space="0" w:color="auto"/>
              <w:right w:val="single" w:sz="4" w:space="0" w:color="auto"/>
            </w:tcBorders>
            <w:shd w:val="clear" w:color="000000" w:fill="FFFFFF"/>
            <w:vAlign w:val="bottom"/>
            <w:hideMark/>
          </w:tcPr>
          <w:p w14:paraId="681A6FB5"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Anne Arundel</w:t>
            </w:r>
          </w:p>
        </w:tc>
        <w:tc>
          <w:tcPr>
            <w:tcW w:w="1400" w:type="dxa"/>
            <w:tcBorders>
              <w:top w:val="nil"/>
              <w:left w:val="nil"/>
              <w:bottom w:val="single" w:sz="4" w:space="0" w:color="auto"/>
              <w:right w:val="single" w:sz="4" w:space="0" w:color="auto"/>
            </w:tcBorders>
            <w:shd w:val="clear" w:color="000000" w:fill="FFFFFF"/>
            <w:vAlign w:val="bottom"/>
            <w:hideMark/>
          </w:tcPr>
          <w:p w14:paraId="593C57C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36%</w:t>
            </w:r>
          </w:p>
        </w:tc>
        <w:tc>
          <w:tcPr>
            <w:tcW w:w="1400" w:type="dxa"/>
            <w:tcBorders>
              <w:top w:val="nil"/>
              <w:left w:val="nil"/>
              <w:bottom w:val="single" w:sz="4" w:space="0" w:color="auto"/>
              <w:right w:val="single" w:sz="4" w:space="0" w:color="auto"/>
            </w:tcBorders>
            <w:shd w:val="clear" w:color="auto" w:fill="auto"/>
            <w:noWrap/>
            <w:vAlign w:val="bottom"/>
            <w:hideMark/>
          </w:tcPr>
          <w:p w14:paraId="7AFF819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371C89E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5CE428E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42%</w:t>
            </w:r>
          </w:p>
        </w:tc>
        <w:tc>
          <w:tcPr>
            <w:tcW w:w="1400" w:type="dxa"/>
            <w:tcBorders>
              <w:top w:val="nil"/>
              <w:left w:val="nil"/>
              <w:bottom w:val="single" w:sz="4" w:space="0" w:color="auto"/>
              <w:right w:val="single" w:sz="4" w:space="0" w:color="auto"/>
            </w:tcBorders>
            <w:shd w:val="clear" w:color="auto" w:fill="auto"/>
            <w:vAlign w:val="bottom"/>
            <w:hideMark/>
          </w:tcPr>
          <w:p w14:paraId="3803188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41.58%</w:t>
            </w:r>
          </w:p>
        </w:tc>
      </w:tr>
      <w:tr w:rsidR="00A94968" w:rsidRPr="00A94968" w14:paraId="4897EC90"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75967A8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210024</w:t>
            </w:r>
          </w:p>
        </w:tc>
        <w:tc>
          <w:tcPr>
            <w:tcW w:w="2260" w:type="dxa"/>
            <w:tcBorders>
              <w:top w:val="nil"/>
              <w:left w:val="nil"/>
              <w:bottom w:val="single" w:sz="4" w:space="0" w:color="auto"/>
              <w:right w:val="single" w:sz="4" w:space="0" w:color="auto"/>
            </w:tcBorders>
            <w:shd w:val="clear" w:color="000000" w:fill="FFFFFF"/>
            <w:vAlign w:val="bottom"/>
            <w:hideMark/>
          </w:tcPr>
          <w:p w14:paraId="28E6B228"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Union Mem</w:t>
            </w:r>
          </w:p>
        </w:tc>
        <w:tc>
          <w:tcPr>
            <w:tcW w:w="1400" w:type="dxa"/>
            <w:tcBorders>
              <w:top w:val="nil"/>
              <w:left w:val="nil"/>
              <w:bottom w:val="single" w:sz="4" w:space="0" w:color="auto"/>
              <w:right w:val="single" w:sz="4" w:space="0" w:color="auto"/>
            </w:tcBorders>
            <w:shd w:val="clear" w:color="000000" w:fill="FFFFFF"/>
            <w:vAlign w:val="bottom"/>
            <w:hideMark/>
          </w:tcPr>
          <w:p w14:paraId="354D75C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23%</w:t>
            </w:r>
          </w:p>
        </w:tc>
        <w:tc>
          <w:tcPr>
            <w:tcW w:w="1400" w:type="dxa"/>
            <w:tcBorders>
              <w:top w:val="nil"/>
              <w:left w:val="nil"/>
              <w:bottom w:val="single" w:sz="4" w:space="0" w:color="auto"/>
              <w:right w:val="single" w:sz="4" w:space="0" w:color="auto"/>
            </w:tcBorders>
            <w:shd w:val="clear" w:color="auto" w:fill="auto"/>
            <w:noWrap/>
            <w:vAlign w:val="bottom"/>
            <w:hideMark/>
          </w:tcPr>
          <w:p w14:paraId="77AC5DE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30%</w:t>
            </w:r>
          </w:p>
        </w:tc>
        <w:tc>
          <w:tcPr>
            <w:tcW w:w="1400" w:type="dxa"/>
            <w:tcBorders>
              <w:top w:val="nil"/>
              <w:left w:val="nil"/>
              <w:bottom w:val="single" w:sz="4" w:space="0" w:color="auto"/>
              <w:right w:val="single" w:sz="4" w:space="0" w:color="auto"/>
            </w:tcBorders>
            <w:shd w:val="clear" w:color="000000" w:fill="FFFFFF"/>
            <w:vAlign w:val="bottom"/>
            <w:hideMark/>
          </w:tcPr>
          <w:p w14:paraId="2A9B8ED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2CC35D7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w:t>
            </w:r>
          </w:p>
        </w:tc>
        <w:tc>
          <w:tcPr>
            <w:tcW w:w="1400" w:type="dxa"/>
            <w:tcBorders>
              <w:top w:val="nil"/>
              <w:left w:val="nil"/>
              <w:bottom w:val="single" w:sz="4" w:space="0" w:color="auto"/>
              <w:right w:val="single" w:sz="4" w:space="0" w:color="auto"/>
            </w:tcBorders>
            <w:shd w:val="clear" w:color="auto" w:fill="auto"/>
            <w:vAlign w:val="bottom"/>
            <w:hideMark/>
          </w:tcPr>
          <w:p w14:paraId="5DE5812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22.13%</w:t>
            </w:r>
          </w:p>
        </w:tc>
      </w:tr>
      <w:tr w:rsidR="00A94968" w:rsidRPr="00A94968" w14:paraId="74EA9B30"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75B29C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210027</w:t>
            </w:r>
          </w:p>
        </w:tc>
        <w:tc>
          <w:tcPr>
            <w:tcW w:w="2260" w:type="dxa"/>
            <w:tcBorders>
              <w:top w:val="nil"/>
              <w:left w:val="nil"/>
              <w:bottom w:val="single" w:sz="4" w:space="0" w:color="auto"/>
              <w:right w:val="single" w:sz="4" w:space="0" w:color="auto"/>
            </w:tcBorders>
            <w:shd w:val="clear" w:color="000000" w:fill="FFFFFF"/>
            <w:vAlign w:val="bottom"/>
            <w:hideMark/>
          </w:tcPr>
          <w:p w14:paraId="4F5E8C7C"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Western Maryland</w:t>
            </w:r>
          </w:p>
        </w:tc>
        <w:tc>
          <w:tcPr>
            <w:tcW w:w="1400" w:type="dxa"/>
            <w:tcBorders>
              <w:top w:val="nil"/>
              <w:left w:val="nil"/>
              <w:bottom w:val="single" w:sz="4" w:space="0" w:color="auto"/>
              <w:right w:val="single" w:sz="4" w:space="0" w:color="auto"/>
            </w:tcBorders>
            <w:shd w:val="clear" w:color="000000" w:fill="FFFFFF"/>
            <w:vAlign w:val="bottom"/>
            <w:hideMark/>
          </w:tcPr>
          <w:p w14:paraId="79405F0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24%</w:t>
            </w:r>
          </w:p>
        </w:tc>
        <w:tc>
          <w:tcPr>
            <w:tcW w:w="1400" w:type="dxa"/>
            <w:tcBorders>
              <w:top w:val="nil"/>
              <w:left w:val="nil"/>
              <w:bottom w:val="single" w:sz="4" w:space="0" w:color="auto"/>
              <w:right w:val="single" w:sz="4" w:space="0" w:color="auto"/>
            </w:tcBorders>
            <w:shd w:val="clear" w:color="auto" w:fill="auto"/>
            <w:noWrap/>
            <w:vAlign w:val="bottom"/>
            <w:hideMark/>
          </w:tcPr>
          <w:p w14:paraId="358AF55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000000" w:fill="FFFFFF"/>
            <w:vAlign w:val="bottom"/>
            <w:hideMark/>
          </w:tcPr>
          <w:p w14:paraId="2EF334C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000000" w:fill="FFFFFF"/>
            <w:vAlign w:val="bottom"/>
            <w:hideMark/>
          </w:tcPr>
          <w:p w14:paraId="433C307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38%</w:t>
            </w:r>
          </w:p>
        </w:tc>
        <w:tc>
          <w:tcPr>
            <w:tcW w:w="1400" w:type="dxa"/>
            <w:tcBorders>
              <w:top w:val="nil"/>
              <w:left w:val="nil"/>
              <w:bottom w:val="single" w:sz="4" w:space="0" w:color="auto"/>
              <w:right w:val="single" w:sz="4" w:space="0" w:color="auto"/>
            </w:tcBorders>
            <w:shd w:val="clear" w:color="auto" w:fill="auto"/>
            <w:vAlign w:val="bottom"/>
            <w:hideMark/>
          </w:tcPr>
          <w:p w14:paraId="771B7F2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27.92%</w:t>
            </w:r>
          </w:p>
        </w:tc>
      </w:tr>
      <w:tr w:rsidR="00A94968" w:rsidRPr="00A94968" w14:paraId="3F6C7218"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750895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210028</w:t>
            </w:r>
          </w:p>
        </w:tc>
        <w:tc>
          <w:tcPr>
            <w:tcW w:w="2260" w:type="dxa"/>
            <w:tcBorders>
              <w:top w:val="nil"/>
              <w:left w:val="nil"/>
              <w:bottom w:val="single" w:sz="4" w:space="0" w:color="auto"/>
              <w:right w:val="single" w:sz="4" w:space="0" w:color="auto"/>
            </w:tcBorders>
            <w:shd w:val="clear" w:color="000000" w:fill="FFFFFF"/>
            <w:vAlign w:val="bottom"/>
            <w:hideMark/>
          </w:tcPr>
          <w:p w14:paraId="17B15653"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St. Mary's</w:t>
            </w:r>
          </w:p>
        </w:tc>
        <w:tc>
          <w:tcPr>
            <w:tcW w:w="1400" w:type="dxa"/>
            <w:tcBorders>
              <w:top w:val="nil"/>
              <w:left w:val="nil"/>
              <w:bottom w:val="single" w:sz="4" w:space="0" w:color="auto"/>
              <w:right w:val="single" w:sz="4" w:space="0" w:color="auto"/>
            </w:tcBorders>
            <w:shd w:val="clear" w:color="000000" w:fill="FFFFFF"/>
            <w:vAlign w:val="bottom"/>
            <w:hideMark/>
          </w:tcPr>
          <w:p w14:paraId="09497CD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26%</w:t>
            </w:r>
          </w:p>
        </w:tc>
        <w:tc>
          <w:tcPr>
            <w:tcW w:w="1400" w:type="dxa"/>
            <w:tcBorders>
              <w:top w:val="nil"/>
              <w:left w:val="nil"/>
              <w:bottom w:val="single" w:sz="4" w:space="0" w:color="auto"/>
              <w:right w:val="single" w:sz="4" w:space="0" w:color="auto"/>
            </w:tcBorders>
            <w:shd w:val="clear" w:color="auto" w:fill="auto"/>
            <w:noWrap/>
            <w:vAlign w:val="bottom"/>
            <w:hideMark/>
          </w:tcPr>
          <w:p w14:paraId="6346A03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277D379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09CAA55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17%</w:t>
            </w:r>
          </w:p>
        </w:tc>
        <w:tc>
          <w:tcPr>
            <w:tcW w:w="1400" w:type="dxa"/>
            <w:tcBorders>
              <w:top w:val="nil"/>
              <w:left w:val="nil"/>
              <w:bottom w:val="single" w:sz="4" w:space="0" w:color="auto"/>
              <w:right w:val="single" w:sz="4" w:space="0" w:color="auto"/>
            </w:tcBorders>
            <w:shd w:val="clear" w:color="auto" w:fill="auto"/>
            <w:vAlign w:val="bottom"/>
            <w:hideMark/>
          </w:tcPr>
          <w:p w14:paraId="3E362D1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32.83%</w:t>
            </w:r>
          </w:p>
        </w:tc>
      </w:tr>
      <w:tr w:rsidR="00A94968" w:rsidRPr="00A94968" w14:paraId="11A986A0"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E61D90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210029</w:t>
            </w:r>
          </w:p>
        </w:tc>
        <w:tc>
          <w:tcPr>
            <w:tcW w:w="2260" w:type="dxa"/>
            <w:tcBorders>
              <w:top w:val="nil"/>
              <w:left w:val="nil"/>
              <w:bottom w:val="single" w:sz="4" w:space="0" w:color="auto"/>
              <w:right w:val="single" w:sz="4" w:space="0" w:color="auto"/>
            </w:tcBorders>
            <w:shd w:val="clear" w:color="000000" w:fill="FFFFFF"/>
            <w:vAlign w:val="bottom"/>
            <w:hideMark/>
          </w:tcPr>
          <w:p w14:paraId="4AD011B3"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JH Bayview</w:t>
            </w:r>
          </w:p>
        </w:tc>
        <w:tc>
          <w:tcPr>
            <w:tcW w:w="1400" w:type="dxa"/>
            <w:tcBorders>
              <w:top w:val="nil"/>
              <w:left w:val="nil"/>
              <w:bottom w:val="single" w:sz="4" w:space="0" w:color="auto"/>
              <w:right w:val="single" w:sz="4" w:space="0" w:color="auto"/>
            </w:tcBorders>
            <w:shd w:val="clear" w:color="000000" w:fill="FFFFFF"/>
            <w:vAlign w:val="bottom"/>
            <w:hideMark/>
          </w:tcPr>
          <w:p w14:paraId="2B43DB4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22%</w:t>
            </w:r>
          </w:p>
        </w:tc>
        <w:tc>
          <w:tcPr>
            <w:tcW w:w="1400" w:type="dxa"/>
            <w:tcBorders>
              <w:top w:val="nil"/>
              <w:left w:val="nil"/>
              <w:bottom w:val="single" w:sz="4" w:space="0" w:color="auto"/>
              <w:right w:val="single" w:sz="4" w:space="0" w:color="auto"/>
            </w:tcBorders>
            <w:shd w:val="clear" w:color="auto" w:fill="auto"/>
            <w:noWrap/>
            <w:vAlign w:val="bottom"/>
            <w:hideMark/>
          </w:tcPr>
          <w:p w14:paraId="654088D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30%</w:t>
            </w:r>
          </w:p>
        </w:tc>
        <w:tc>
          <w:tcPr>
            <w:tcW w:w="1400" w:type="dxa"/>
            <w:tcBorders>
              <w:top w:val="nil"/>
              <w:left w:val="nil"/>
              <w:bottom w:val="single" w:sz="4" w:space="0" w:color="auto"/>
              <w:right w:val="single" w:sz="4" w:space="0" w:color="auto"/>
            </w:tcBorders>
            <w:shd w:val="clear" w:color="000000" w:fill="FFFFFF"/>
            <w:vAlign w:val="bottom"/>
            <w:hideMark/>
          </w:tcPr>
          <w:p w14:paraId="77CF5E1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6959E0C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28%</w:t>
            </w:r>
          </w:p>
        </w:tc>
        <w:tc>
          <w:tcPr>
            <w:tcW w:w="1400" w:type="dxa"/>
            <w:tcBorders>
              <w:top w:val="nil"/>
              <w:left w:val="nil"/>
              <w:bottom w:val="single" w:sz="4" w:space="0" w:color="auto"/>
              <w:right w:val="single" w:sz="4" w:space="0" w:color="auto"/>
            </w:tcBorders>
            <w:shd w:val="clear" w:color="auto" w:fill="auto"/>
            <w:vAlign w:val="bottom"/>
            <w:hideMark/>
          </w:tcPr>
          <w:p w14:paraId="38117B0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28.92%</w:t>
            </w:r>
          </w:p>
        </w:tc>
      </w:tr>
      <w:tr w:rsidR="00A94968" w:rsidRPr="00A94968" w14:paraId="2D5190E3"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2F9E5BC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210030</w:t>
            </w:r>
          </w:p>
        </w:tc>
        <w:tc>
          <w:tcPr>
            <w:tcW w:w="2260" w:type="dxa"/>
            <w:tcBorders>
              <w:top w:val="nil"/>
              <w:left w:val="nil"/>
              <w:bottom w:val="single" w:sz="4" w:space="0" w:color="auto"/>
              <w:right w:val="single" w:sz="4" w:space="0" w:color="auto"/>
            </w:tcBorders>
            <w:shd w:val="clear" w:color="000000" w:fill="FFFFFF"/>
            <w:vAlign w:val="bottom"/>
            <w:hideMark/>
          </w:tcPr>
          <w:p w14:paraId="6932B45B"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UM-Chestertown</w:t>
            </w:r>
          </w:p>
        </w:tc>
        <w:tc>
          <w:tcPr>
            <w:tcW w:w="1400" w:type="dxa"/>
            <w:tcBorders>
              <w:top w:val="nil"/>
              <w:left w:val="nil"/>
              <w:bottom w:val="single" w:sz="4" w:space="0" w:color="auto"/>
              <w:right w:val="single" w:sz="4" w:space="0" w:color="auto"/>
            </w:tcBorders>
            <w:shd w:val="clear" w:color="000000" w:fill="FFFFFF"/>
            <w:vAlign w:val="bottom"/>
            <w:hideMark/>
          </w:tcPr>
          <w:p w14:paraId="593DFE9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47%</w:t>
            </w:r>
          </w:p>
        </w:tc>
        <w:tc>
          <w:tcPr>
            <w:tcW w:w="1400" w:type="dxa"/>
            <w:tcBorders>
              <w:top w:val="nil"/>
              <w:left w:val="nil"/>
              <w:bottom w:val="single" w:sz="4" w:space="0" w:color="auto"/>
              <w:right w:val="single" w:sz="4" w:space="0" w:color="auto"/>
            </w:tcBorders>
            <w:shd w:val="clear" w:color="auto" w:fill="auto"/>
            <w:noWrap/>
            <w:vAlign w:val="bottom"/>
            <w:hideMark/>
          </w:tcPr>
          <w:p w14:paraId="3A5BF60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74F9BC2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2BB4606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auto"/>
            <w:vAlign w:val="bottom"/>
            <w:hideMark/>
          </w:tcPr>
          <w:p w14:paraId="41E29A9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59.19%</w:t>
            </w:r>
          </w:p>
        </w:tc>
      </w:tr>
      <w:tr w:rsidR="00A94968" w:rsidRPr="00A94968" w14:paraId="7B28F96C"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2D301BD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210032</w:t>
            </w:r>
          </w:p>
        </w:tc>
        <w:tc>
          <w:tcPr>
            <w:tcW w:w="2260" w:type="dxa"/>
            <w:tcBorders>
              <w:top w:val="nil"/>
              <w:left w:val="nil"/>
              <w:bottom w:val="single" w:sz="4" w:space="0" w:color="auto"/>
              <w:right w:val="single" w:sz="4" w:space="0" w:color="auto"/>
            </w:tcBorders>
            <w:shd w:val="clear" w:color="000000" w:fill="FFFFFF"/>
            <w:vAlign w:val="bottom"/>
            <w:hideMark/>
          </w:tcPr>
          <w:p w14:paraId="29AA17D3"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Union of Cecil</w:t>
            </w:r>
          </w:p>
        </w:tc>
        <w:tc>
          <w:tcPr>
            <w:tcW w:w="1400" w:type="dxa"/>
            <w:tcBorders>
              <w:top w:val="nil"/>
              <w:left w:val="nil"/>
              <w:bottom w:val="single" w:sz="4" w:space="0" w:color="auto"/>
              <w:right w:val="single" w:sz="4" w:space="0" w:color="auto"/>
            </w:tcBorders>
            <w:shd w:val="clear" w:color="000000" w:fill="FFFFFF"/>
            <w:vAlign w:val="bottom"/>
            <w:hideMark/>
          </w:tcPr>
          <w:p w14:paraId="7D60BD0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14%</w:t>
            </w:r>
          </w:p>
        </w:tc>
        <w:tc>
          <w:tcPr>
            <w:tcW w:w="1400" w:type="dxa"/>
            <w:tcBorders>
              <w:top w:val="nil"/>
              <w:left w:val="nil"/>
              <w:bottom w:val="single" w:sz="4" w:space="0" w:color="auto"/>
              <w:right w:val="single" w:sz="4" w:space="0" w:color="auto"/>
            </w:tcBorders>
            <w:shd w:val="clear" w:color="auto" w:fill="auto"/>
            <w:noWrap/>
            <w:vAlign w:val="bottom"/>
            <w:hideMark/>
          </w:tcPr>
          <w:p w14:paraId="0340013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497C89C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50%</w:t>
            </w:r>
          </w:p>
        </w:tc>
        <w:tc>
          <w:tcPr>
            <w:tcW w:w="1400" w:type="dxa"/>
            <w:tcBorders>
              <w:top w:val="nil"/>
              <w:left w:val="nil"/>
              <w:bottom w:val="single" w:sz="4" w:space="0" w:color="auto"/>
              <w:right w:val="single" w:sz="4" w:space="0" w:color="auto"/>
            </w:tcBorders>
            <w:shd w:val="clear" w:color="000000" w:fill="FFFFFF"/>
            <w:vAlign w:val="bottom"/>
            <w:hideMark/>
          </w:tcPr>
          <w:p w14:paraId="49BD8FF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58%</w:t>
            </w:r>
          </w:p>
        </w:tc>
        <w:tc>
          <w:tcPr>
            <w:tcW w:w="1400" w:type="dxa"/>
            <w:tcBorders>
              <w:top w:val="nil"/>
              <w:left w:val="nil"/>
              <w:bottom w:val="single" w:sz="4" w:space="0" w:color="auto"/>
              <w:right w:val="single" w:sz="4" w:space="0" w:color="auto"/>
            </w:tcBorders>
            <w:shd w:val="clear" w:color="auto" w:fill="auto"/>
            <w:vAlign w:val="bottom"/>
            <w:hideMark/>
          </w:tcPr>
          <w:p w14:paraId="084932A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33.63%</w:t>
            </w:r>
          </w:p>
        </w:tc>
      </w:tr>
      <w:tr w:rsidR="00A94968" w:rsidRPr="00A94968" w14:paraId="4CFE2E65"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DF58C6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210033</w:t>
            </w:r>
          </w:p>
        </w:tc>
        <w:tc>
          <w:tcPr>
            <w:tcW w:w="2260" w:type="dxa"/>
            <w:tcBorders>
              <w:top w:val="nil"/>
              <w:left w:val="nil"/>
              <w:bottom w:val="single" w:sz="4" w:space="0" w:color="auto"/>
              <w:right w:val="single" w:sz="4" w:space="0" w:color="auto"/>
            </w:tcBorders>
            <w:shd w:val="clear" w:color="000000" w:fill="FFFFFF"/>
            <w:vAlign w:val="bottom"/>
            <w:hideMark/>
          </w:tcPr>
          <w:p w14:paraId="00177807"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Carroll</w:t>
            </w:r>
          </w:p>
        </w:tc>
        <w:tc>
          <w:tcPr>
            <w:tcW w:w="1400" w:type="dxa"/>
            <w:tcBorders>
              <w:top w:val="nil"/>
              <w:left w:val="nil"/>
              <w:bottom w:val="single" w:sz="4" w:space="0" w:color="auto"/>
              <w:right w:val="single" w:sz="4" w:space="0" w:color="auto"/>
            </w:tcBorders>
            <w:shd w:val="clear" w:color="000000" w:fill="FFFFFF"/>
            <w:vAlign w:val="bottom"/>
            <w:hideMark/>
          </w:tcPr>
          <w:p w14:paraId="1F6451B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24%</w:t>
            </w:r>
          </w:p>
        </w:tc>
        <w:tc>
          <w:tcPr>
            <w:tcW w:w="1400" w:type="dxa"/>
            <w:tcBorders>
              <w:top w:val="nil"/>
              <w:left w:val="nil"/>
              <w:bottom w:val="single" w:sz="4" w:space="0" w:color="auto"/>
              <w:right w:val="single" w:sz="4" w:space="0" w:color="auto"/>
            </w:tcBorders>
            <w:shd w:val="clear" w:color="auto" w:fill="auto"/>
            <w:noWrap/>
            <w:vAlign w:val="bottom"/>
            <w:hideMark/>
          </w:tcPr>
          <w:p w14:paraId="66A0145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2639A89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0D06B32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42%</w:t>
            </w:r>
          </w:p>
        </w:tc>
        <w:tc>
          <w:tcPr>
            <w:tcW w:w="1400" w:type="dxa"/>
            <w:tcBorders>
              <w:top w:val="nil"/>
              <w:left w:val="nil"/>
              <w:bottom w:val="single" w:sz="4" w:space="0" w:color="auto"/>
              <w:right w:val="single" w:sz="4" w:space="0" w:color="auto"/>
            </w:tcBorders>
            <w:shd w:val="clear" w:color="auto" w:fill="auto"/>
            <w:vAlign w:val="bottom"/>
            <w:hideMark/>
          </w:tcPr>
          <w:p w14:paraId="5512CAE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41.58%</w:t>
            </w:r>
          </w:p>
        </w:tc>
      </w:tr>
      <w:tr w:rsidR="00A94968" w:rsidRPr="00A94968" w14:paraId="6E967BDF"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4E46C0E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210034</w:t>
            </w:r>
          </w:p>
        </w:tc>
        <w:tc>
          <w:tcPr>
            <w:tcW w:w="2260" w:type="dxa"/>
            <w:tcBorders>
              <w:top w:val="nil"/>
              <w:left w:val="nil"/>
              <w:bottom w:val="single" w:sz="4" w:space="0" w:color="auto"/>
              <w:right w:val="single" w:sz="4" w:space="0" w:color="auto"/>
            </w:tcBorders>
            <w:shd w:val="clear" w:color="000000" w:fill="FFFFFF"/>
            <w:vAlign w:val="bottom"/>
            <w:hideMark/>
          </w:tcPr>
          <w:p w14:paraId="0B63C440"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Harbor</w:t>
            </w:r>
          </w:p>
        </w:tc>
        <w:tc>
          <w:tcPr>
            <w:tcW w:w="1400" w:type="dxa"/>
            <w:tcBorders>
              <w:top w:val="nil"/>
              <w:left w:val="nil"/>
              <w:bottom w:val="single" w:sz="4" w:space="0" w:color="auto"/>
              <w:right w:val="single" w:sz="4" w:space="0" w:color="auto"/>
            </w:tcBorders>
            <w:shd w:val="clear" w:color="000000" w:fill="FFFFFF"/>
            <w:vAlign w:val="bottom"/>
            <w:hideMark/>
          </w:tcPr>
          <w:p w14:paraId="0D6C8CA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18%</w:t>
            </w:r>
          </w:p>
        </w:tc>
        <w:tc>
          <w:tcPr>
            <w:tcW w:w="1400" w:type="dxa"/>
            <w:tcBorders>
              <w:top w:val="nil"/>
              <w:left w:val="nil"/>
              <w:bottom w:val="single" w:sz="4" w:space="0" w:color="auto"/>
              <w:right w:val="single" w:sz="4" w:space="0" w:color="auto"/>
            </w:tcBorders>
            <w:shd w:val="clear" w:color="auto" w:fill="auto"/>
            <w:noWrap/>
            <w:vAlign w:val="bottom"/>
            <w:hideMark/>
          </w:tcPr>
          <w:p w14:paraId="185D1F3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47824E9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000000" w:fill="FFFFFF"/>
            <w:vAlign w:val="bottom"/>
            <w:hideMark/>
          </w:tcPr>
          <w:p w14:paraId="6D0D4AF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23%</w:t>
            </w:r>
          </w:p>
        </w:tc>
        <w:tc>
          <w:tcPr>
            <w:tcW w:w="1400" w:type="dxa"/>
            <w:tcBorders>
              <w:top w:val="nil"/>
              <w:left w:val="nil"/>
              <w:bottom w:val="single" w:sz="4" w:space="0" w:color="auto"/>
              <w:right w:val="single" w:sz="4" w:space="0" w:color="auto"/>
            </w:tcBorders>
            <w:shd w:val="clear" w:color="auto" w:fill="auto"/>
            <w:vAlign w:val="bottom"/>
            <w:hideMark/>
          </w:tcPr>
          <w:p w14:paraId="3201152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26.67%</w:t>
            </w:r>
          </w:p>
        </w:tc>
      </w:tr>
      <w:tr w:rsidR="00A94968" w:rsidRPr="00A94968" w14:paraId="1F6C23AE"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1E1B050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210035</w:t>
            </w:r>
          </w:p>
        </w:tc>
        <w:tc>
          <w:tcPr>
            <w:tcW w:w="2260" w:type="dxa"/>
            <w:tcBorders>
              <w:top w:val="nil"/>
              <w:left w:val="nil"/>
              <w:bottom w:val="single" w:sz="4" w:space="0" w:color="auto"/>
              <w:right w:val="single" w:sz="4" w:space="0" w:color="auto"/>
            </w:tcBorders>
            <w:shd w:val="clear" w:color="000000" w:fill="FFFFFF"/>
            <w:vAlign w:val="bottom"/>
            <w:hideMark/>
          </w:tcPr>
          <w:p w14:paraId="0D9C0641"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UM-Charles Regional</w:t>
            </w:r>
          </w:p>
        </w:tc>
        <w:tc>
          <w:tcPr>
            <w:tcW w:w="1400" w:type="dxa"/>
            <w:tcBorders>
              <w:top w:val="nil"/>
              <w:left w:val="nil"/>
              <w:bottom w:val="single" w:sz="4" w:space="0" w:color="auto"/>
              <w:right w:val="single" w:sz="4" w:space="0" w:color="auto"/>
            </w:tcBorders>
            <w:shd w:val="clear" w:color="000000" w:fill="FFFFFF"/>
            <w:vAlign w:val="bottom"/>
            <w:hideMark/>
          </w:tcPr>
          <w:p w14:paraId="35A8AE0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28%</w:t>
            </w:r>
          </w:p>
        </w:tc>
        <w:tc>
          <w:tcPr>
            <w:tcW w:w="1400" w:type="dxa"/>
            <w:tcBorders>
              <w:top w:val="nil"/>
              <w:left w:val="nil"/>
              <w:bottom w:val="single" w:sz="4" w:space="0" w:color="auto"/>
              <w:right w:val="single" w:sz="4" w:space="0" w:color="auto"/>
            </w:tcBorders>
            <w:shd w:val="clear" w:color="auto" w:fill="auto"/>
            <w:noWrap/>
            <w:vAlign w:val="bottom"/>
            <w:hideMark/>
          </w:tcPr>
          <w:p w14:paraId="23280D4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80%</w:t>
            </w:r>
          </w:p>
        </w:tc>
        <w:tc>
          <w:tcPr>
            <w:tcW w:w="1400" w:type="dxa"/>
            <w:tcBorders>
              <w:top w:val="nil"/>
              <w:left w:val="nil"/>
              <w:bottom w:val="single" w:sz="4" w:space="0" w:color="auto"/>
              <w:right w:val="single" w:sz="4" w:space="0" w:color="auto"/>
            </w:tcBorders>
            <w:shd w:val="clear" w:color="000000" w:fill="FFFFFF"/>
            <w:vAlign w:val="bottom"/>
            <w:hideMark/>
          </w:tcPr>
          <w:p w14:paraId="5292C12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6309A76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48%</w:t>
            </w:r>
          </w:p>
        </w:tc>
        <w:tc>
          <w:tcPr>
            <w:tcW w:w="1400" w:type="dxa"/>
            <w:tcBorders>
              <w:top w:val="nil"/>
              <w:left w:val="nil"/>
              <w:bottom w:val="single" w:sz="4" w:space="0" w:color="auto"/>
              <w:right w:val="single" w:sz="4" w:space="0" w:color="auto"/>
            </w:tcBorders>
            <w:shd w:val="clear" w:color="auto" w:fill="auto"/>
            <w:vAlign w:val="bottom"/>
            <w:hideMark/>
          </w:tcPr>
          <w:p w14:paraId="0467DBE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43.92%</w:t>
            </w:r>
          </w:p>
        </w:tc>
      </w:tr>
      <w:tr w:rsidR="00A94968" w:rsidRPr="00A94968" w14:paraId="6D7F8298"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12A1A03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210037</w:t>
            </w:r>
          </w:p>
        </w:tc>
        <w:tc>
          <w:tcPr>
            <w:tcW w:w="2260" w:type="dxa"/>
            <w:tcBorders>
              <w:top w:val="nil"/>
              <w:left w:val="nil"/>
              <w:bottom w:val="single" w:sz="4" w:space="0" w:color="auto"/>
              <w:right w:val="single" w:sz="4" w:space="0" w:color="auto"/>
            </w:tcBorders>
            <w:shd w:val="clear" w:color="000000" w:fill="FFFFFF"/>
            <w:vAlign w:val="bottom"/>
            <w:hideMark/>
          </w:tcPr>
          <w:p w14:paraId="5D8CBEFD"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UM-Easton</w:t>
            </w:r>
          </w:p>
        </w:tc>
        <w:tc>
          <w:tcPr>
            <w:tcW w:w="1400" w:type="dxa"/>
            <w:tcBorders>
              <w:top w:val="nil"/>
              <w:left w:val="nil"/>
              <w:bottom w:val="single" w:sz="4" w:space="0" w:color="auto"/>
              <w:right w:val="single" w:sz="4" w:space="0" w:color="auto"/>
            </w:tcBorders>
            <w:shd w:val="clear" w:color="000000" w:fill="FFFFFF"/>
            <w:vAlign w:val="bottom"/>
            <w:hideMark/>
          </w:tcPr>
          <w:p w14:paraId="7B87DBA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27%</w:t>
            </w:r>
          </w:p>
        </w:tc>
        <w:tc>
          <w:tcPr>
            <w:tcW w:w="1400" w:type="dxa"/>
            <w:tcBorders>
              <w:top w:val="nil"/>
              <w:left w:val="nil"/>
              <w:bottom w:val="single" w:sz="4" w:space="0" w:color="auto"/>
              <w:right w:val="single" w:sz="4" w:space="0" w:color="auto"/>
            </w:tcBorders>
            <w:shd w:val="clear" w:color="auto" w:fill="auto"/>
            <w:noWrap/>
            <w:vAlign w:val="bottom"/>
            <w:hideMark/>
          </w:tcPr>
          <w:p w14:paraId="26029D8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4D61909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32F3ECA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45%</w:t>
            </w:r>
          </w:p>
        </w:tc>
        <w:tc>
          <w:tcPr>
            <w:tcW w:w="1400" w:type="dxa"/>
            <w:tcBorders>
              <w:top w:val="nil"/>
              <w:left w:val="nil"/>
              <w:bottom w:val="single" w:sz="4" w:space="0" w:color="auto"/>
              <w:right w:val="single" w:sz="4" w:space="0" w:color="auto"/>
            </w:tcBorders>
            <w:shd w:val="clear" w:color="auto" w:fill="auto"/>
            <w:vAlign w:val="bottom"/>
            <w:hideMark/>
          </w:tcPr>
          <w:p w14:paraId="52CBBF8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37.75%</w:t>
            </w:r>
          </w:p>
        </w:tc>
      </w:tr>
      <w:tr w:rsidR="00A94968" w:rsidRPr="00A94968" w14:paraId="7AE6F6CC"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4FC1F84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210038</w:t>
            </w:r>
          </w:p>
        </w:tc>
        <w:tc>
          <w:tcPr>
            <w:tcW w:w="2260" w:type="dxa"/>
            <w:tcBorders>
              <w:top w:val="nil"/>
              <w:left w:val="nil"/>
              <w:bottom w:val="single" w:sz="4" w:space="0" w:color="auto"/>
              <w:right w:val="single" w:sz="4" w:space="0" w:color="auto"/>
            </w:tcBorders>
            <w:shd w:val="clear" w:color="000000" w:fill="FFFFFF"/>
            <w:vAlign w:val="bottom"/>
            <w:hideMark/>
          </w:tcPr>
          <w:p w14:paraId="5F5EADC2"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UMMC Midtown</w:t>
            </w:r>
          </w:p>
        </w:tc>
        <w:tc>
          <w:tcPr>
            <w:tcW w:w="1400" w:type="dxa"/>
            <w:tcBorders>
              <w:top w:val="nil"/>
              <w:left w:val="nil"/>
              <w:bottom w:val="single" w:sz="4" w:space="0" w:color="auto"/>
              <w:right w:val="single" w:sz="4" w:space="0" w:color="auto"/>
            </w:tcBorders>
            <w:shd w:val="clear" w:color="000000" w:fill="FFFFFF"/>
            <w:vAlign w:val="bottom"/>
            <w:hideMark/>
          </w:tcPr>
          <w:p w14:paraId="4E3CCFE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18%</w:t>
            </w:r>
          </w:p>
        </w:tc>
        <w:tc>
          <w:tcPr>
            <w:tcW w:w="1400" w:type="dxa"/>
            <w:tcBorders>
              <w:top w:val="nil"/>
              <w:left w:val="nil"/>
              <w:bottom w:val="single" w:sz="4" w:space="0" w:color="auto"/>
              <w:right w:val="single" w:sz="4" w:space="0" w:color="auto"/>
            </w:tcBorders>
            <w:shd w:val="clear" w:color="auto" w:fill="auto"/>
            <w:noWrap/>
            <w:vAlign w:val="bottom"/>
            <w:hideMark/>
          </w:tcPr>
          <w:p w14:paraId="0DFFD3D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2A6F990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80%</w:t>
            </w:r>
          </w:p>
        </w:tc>
        <w:tc>
          <w:tcPr>
            <w:tcW w:w="1400" w:type="dxa"/>
            <w:tcBorders>
              <w:top w:val="nil"/>
              <w:left w:val="nil"/>
              <w:bottom w:val="single" w:sz="4" w:space="0" w:color="auto"/>
              <w:right w:val="single" w:sz="4" w:space="0" w:color="auto"/>
            </w:tcBorders>
            <w:shd w:val="clear" w:color="000000" w:fill="FFFFFF"/>
            <w:vAlign w:val="bottom"/>
            <w:hideMark/>
          </w:tcPr>
          <w:p w14:paraId="164F8AC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30%</w:t>
            </w:r>
          </w:p>
        </w:tc>
        <w:tc>
          <w:tcPr>
            <w:tcW w:w="1400" w:type="dxa"/>
            <w:tcBorders>
              <w:top w:val="nil"/>
              <w:left w:val="nil"/>
              <w:bottom w:val="single" w:sz="4" w:space="0" w:color="auto"/>
              <w:right w:val="single" w:sz="4" w:space="0" w:color="auto"/>
            </w:tcBorders>
            <w:shd w:val="clear" w:color="auto" w:fill="auto"/>
            <w:vAlign w:val="bottom"/>
            <w:hideMark/>
          </w:tcPr>
          <w:p w14:paraId="048B9BD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33.50%</w:t>
            </w:r>
          </w:p>
        </w:tc>
      </w:tr>
      <w:tr w:rsidR="00A94968" w:rsidRPr="00A94968" w14:paraId="760A6752"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996F2F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210039</w:t>
            </w:r>
          </w:p>
        </w:tc>
        <w:tc>
          <w:tcPr>
            <w:tcW w:w="2260" w:type="dxa"/>
            <w:tcBorders>
              <w:top w:val="nil"/>
              <w:left w:val="nil"/>
              <w:bottom w:val="single" w:sz="4" w:space="0" w:color="auto"/>
              <w:right w:val="single" w:sz="4" w:space="0" w:color="auto"/>
            </w:tcBorders>
            <w:shd w:val="clear" w:color="000000" w:fill="FFFFFF"/>
            <w:vAlign w:val="bottom"/>
            <w:hideMark/>
          </w:tcPr>
          <w:p w14:paraId="7EF29A5B"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Calvert</w:t>
            </w:r>
          </w:p>
        </w:tc>
        <w:tc>
          <w:tcPr>
            <w:tcW w:w="1400" w:type="dxa"/>
            <w:tcBorders>
              <w:top w:val="nil"/>
              <w:left w:val="nil"/>
              <w:bottom w:val="single" w:sz="4" w:space="0" w:color="auto"/>
              <w:right w:val="single" w:sz="4" w:space="0" w:color="auto"/>
            </w:tcBorders>
            <w:shd w:val="clear" w:color="000000" w:fill="FFFFFF"/>
            <w:vAlign w:val="bottom"/>
            <w:hideMark/>
          </w:tcPr>
          <w:p w14:paraId="3C18859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24%</w:t>
            </w:r>
          </w:p>
        </w:tc>
        <w:tc>
          <w:tcPr>
            <w:tcW w:w="1400" w:type="dxa"/>
            <w:tcBorders>
              <w:top w:val="nil"/>
              <w:left w:val="nil"/>
              <w:bottom w:val="single" w:sz="4" w:space="0" w:color="auto"/>
              <w:right w:val="single" w:sz="4" w:space="0" w:color="auto"/>
            </w:tcBorders>
            <w:shd w:val="clear" w:color="auto" w:fill="auto"/>
            <w:noWrap/>
            <w:vAlign w:val="bottom"/>
            <w:hideMark/>
          </w:tcPr>
          <w:p w14:paraId="13CA383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4FDA821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0CBCD75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80%</w:t>
            </w:r>
          </w:p>
        </w:tc>
        <w:tc>
          <w:tcPr>
            <w:tcW w:w="1400" w:type="dxa"/>
            <w:tcBorders>
              <w:top w:val="nil"/>
              <w:left w:val="nil"/>
              <w:bottom w:val="single" w:sz="4" w:space="0" w:color="auto"/>
              <w:right w:val="single" w:sz="4" w:space="0" w:color="auto"/>
            </w:tcBorders>
            <w:shd w:val="clear" w:color="auto" w:fill="auto"/>
            <w:vAlign w:val="bottom"/>
            <w:hideMark/>
          </w:tcPr>
          <w:p w14:paraId="439CEBA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55.00%</w:t>
            </w:r>
          </w:p>
        </w:tc>
      </w:tr>
      <w:tr w:rsidR="00A94968" w:rsidRPr="00A94968" w14:paraId="7874CF77"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82AB15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210040</w:t>
            </w:r>
          </w:p>
        </w:tc>
        <w:tc>
          <w:tcPr>
            <w:tcW w:w="2260" w:type="dxa"/>
            <w:tcBorders>
              <w:top w:val="nil"/>
              <w:left w:val="nil"/>
              <w:bottom w:val="single" w:sz="4" w:space="0" w:color="auto"/>
              <w:right w:val="single" w:sz="4" w:space="0" w:color="auto"/>
            </w:tcBorders>
            <w:shd w:val="clear" w:color="000000" w:fill="FFFFFF"/>
            <w:vAlign w:val="bottom"/>
            <w:hideMark/>
          </w:tcPr>
          <w:p w14:paraId="68E16C6E"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Northwest</w:t>
            </w:r>
          </w:p>
        </w:tc>
        <w:tc>
          <w:tcPr>
            <w:tcW w:w="1400" w:type="dxa"/>
            <w:tcBorders>
              <w:top w:val="nil"/>
              <w:left w:val="nil"/>
              <w:bottom w:val="single" w:sz="4" w:space="0" w:color="auto"/>
              <w:right w:val="single" w:sz="4" w:space="0" w:color="auto"/>
            </w:tcBorders>
            <w:shd w:val="clear" w:color="000000" w:fill="FFFFFF"/>
            <w:vAlign w:val="bottom"/>
            <w:hideMark/>
          </w:tcPr>
          <w:p w14:paraId="2B09A96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17%</w:t>
            </w:r>
          </w:p>
        </w:tc>
        <w:tc>
          <w:tcPr>
            <w:tcW w:w="1400" w:type="dxa"/>
            <w:tcBorders>
              <w:top w:val="nil"/>
              <w:left w:val="nil"/>
              <w:bottom w:val="single" w:sz="4" w:space="0" w:color="auto"/>
              <w:right w:val="single" w:sz="4" w:space="0" w:color="auto"/>
            </w:tcBorders>
            <w:shd w:val="clear" w:color="auto" w:fill="auto"/>
            <w:noWrap/>
            <w:vAlign w:val="bottom"/>
            <w:hideMark/>
          </w:tcPr>
          <w:p w14:paraId="2CB4AE6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2A93AB6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7E22EC7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auto" w:fill="auto"/>
            <w:vAlign w:val="bottom"/>
            <w:hideMark/>
          </w:tcPr>
          <w:p w14:paraId="1CD6D34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28.00%</w:t>
            </w:r>
          </w:p>
        </w:tc>
      </w:tr>
      <w:tr w:rsidR="00A94968" w:rsidRPr="00A94968" w14:paraId="79D8A1AA"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44805A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lastRenderedPageBreak/>
              <w:t>210043</w:t>
            </w:r>
          </w:p>
        </w:tc>
        <w:tc>
          <w:tcPr>
            <w:tcW w:w="2260" w:type="dxa"/>
            <w:tcBorders>
              <w:top w:val="nil"/>
              <w:left w:val="nil"/>
              <w:bottom w:val="single" w:sz="4" w:space="0" w:color="auto"/>
              <w:right w:val="single" w:sz="4" w:space="0" w:color="auto"/>
            </w:tcBorders>
            <w:shd w:val="clear" w:color="000000" w:fill="FFFFFF"/>
            <w:vAlign w:val="bottom"/>
            <w:hideMark/>
          </w:tcPr>
          <w:p w14:paraId="4A0E00EE"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UM-BWMC</w:t>
            </w:r>
          </w:p>
        </w:tc>
        <w:tc>
          <w:tcPr>
            <w:tcW w:w="1400" w:type="dxa"/>
            <w:tcBorders>
              <w:top w:val="nil"/>
              <w:left w:val="nil"/>
              <w:bottom w:val="single" w:sz="4" w:space="0" w:color="auto"/>
              <w:right w:val="single" w:sz="4" w:space="0" w:color="auto"/>
            </w:tcBorders>
            <w:shd w:val="clear" w:color="000000" w:fill="FFFFFF"/>
            <w:vAlign w:val="bottom"/>
            <w:hideMark/>
          </w:tcPr>
          <w:p w14:paraId="164690D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31%</w:t>
            </w:r>
          </w:p>
        </w:tc>
        <w:tc>
          <w:tcPr>
            <w:tcW w:w="1400" w:type="dxa"/>
            <w:tcBorders>
              <w:top w:val="nil"/>
              <w:left w:val="nil"/>
              <w:bottom w:val="single" w:sz="4" w:space="0" w:color="auto"/>
              <w:right w:val="single" w:sz="4" w:space="0" w:color="auto"/>
            </w:tcBorders>
            <w:shd w:val="clear" w:color="auto" w:fill="auto"/>
            <w:noWrap/>
            <w:vAlign w:val="bottom"/>
            <w:hideMark/>
          </w:tcPr>
          <w:p w14:paraId="2C2E5A0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80%</w:t>
            </w:r>
          </w:p>
        </w:tc>
        <w:tc>
          <w:tcPr>
            <w:tcW w:w="1400" w:type="dxa"/>
            <w:tcBorders>
              <w:top w:val="nil"/>
              <w:left w:val="nil"/>
              <w:bottom w:val="single" w:sz="4" w:space="0" w:color="auto"/>
              <w:right w:val="single" w:sz="4" w:space="0" w:color="auto"/>
            </w:tcBorders>
            <w:shd w:val="clear" w:color="000000" w:fill="FFFFFF"/>
            <w:vAlign w:val="bottom"/>
            <w:hideMark/>
          </w:tcPr>
          <w:p w14:paraId="09415A1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0%</w:t>
            </w:r>
          </w:p>
        </w:tc>
        <w:tc>
          <w:tcPr>
            <w:tcW w:w="1400" w:type="dxa"/>
            <w:tcBorders>
              <w:top w:val="nil"/>
              <w:left w:val="nil"/>
              <w:bottom w:val="single" w:sz="4" w:space="0" w:color="auto"/>
              <w:right w:val="single" w:sz="4" w:space="0" w:color="auto"/>
            </w:tcBorders>
            <w:shd w:val="clear" w:color="000000" w:fill="FFFFFF"/>
            <w:vAlign w:val="bottom"/>
            <w:hideMark/>
          </w:tcPr>
          <w:p w14:paraId="2B294AF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32%</w:t>
            </w:r>
          </w:p>
        </w:tc>
        <w:tc>
          <w:tcPr>
            <w:tcW w:w="1400" w:type="dxa"/>
            <w:tcBorders>
              <w:top w:val="nil"/>
              <w:left w:val="nil"/>
              <w:bottom w:val="single" w:sz="4" w:space="0" w:color="auto"/>
              <w:right w:val="single" w:sz="4" w:space="0" w:color="auto"/>
            </w:tcBorders>
            <w:shd w:val="clear" w:color="auto" w:fill="auto"/>
            <w:vAlign w:val="bottom"/>
            <w:hideMark/>
          </w:tcPr>
          <w:p w14:paraId="6A2DCB2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34.58%</w:t>
            </w:r>
          </w:p>
        </w:tc>
      </w:tr>
      <w:tr w:rsidR="00A94968" w:rsidRPr="00A94968" w14:paraId="510E5CA7"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06BEDD9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210044</w:t>
            </w:r>
          </w:p>
        </w:tc>
        <w:tc>
          <w:tcPr>
            <w:tcW w:w="2260" w:type="dxa"/>
            <w:tcBorders>
              <w:top w:val="nil"/>
              <w:left w:val="nil"/>
              <w:bottom w:val="single" w:sz="4" w:space="0" w:color="auto"/>
              <w:right w:val="single" w:sz="4" w:space="0" w:color="auto"/>
            </w:tcBorders>
            <w:shd w:val="clear" w:color="000000" w:fill="FFFFFF"/>
            <w:vAlign w:val="bottom"/>
            <w:hideMark/>
          </w:tcPr>
          <w:p w14:paraId="634698E1"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GBMC</w:t>
            </w:r>
          </w:p>
        </w:tc>
        <w:tc>
          <w:tcPr>
            <w:tcW w:w="1400" w:type="dxa"/>
            <w:tcBorders>
              <w:top w:val="nil"/>
              <w:left w:val="nil"/>
              <w:bottom w:val="single" w:sz="4" w:space="0" w:color="auto"/>
              <w:right w:val="single" w:sz="4" w:space="0" w:color="auto"/>
            </w:tcBorders>
            <w:shd w:val="clear" w:color="000000" w:fill="FFFFFF"/>
            <w:vAlign w:val="bottom"/>
            <w:hideMark/>
          </w:tcPr>
          <w:p w14:paraId="2663D91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24%</w:t>
            </w:r>
          </w:p>
        </w:tc>
        <w:tc>
          <w:tcPr>
            <w:tcW w:w="1400" w:type="dxa"/>
            <w:tcBorders>
              <w:top w:val="nil"/>
              <w:left w:val="nil"/>
              <w:bottom w:val="single" w:sz="4" w:space="0" w:color="auto"/>
              <w:right w:val="single" w:sz="4" w:space="0" w:color="auto"/>
            </w:tcBorders>
            <w:shd w:val="clear" w:color="auto" w:fill="auto"/>
            <w:noWrap/>
            <w:vAlign w:val="bottom"/>
            <w:hideMark/>
          </w:tcPr>
          <w:p w14:paraId="5F8C09A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1A5BB57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4B4CA57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43%</w:t>
            </w:r>
          </w:p>
        </w:tc>
        <w:tc>
          <w:tcPr>
            <w:tcW w:w="1400" w:type="dxa"/>
            <w:tcBorders>
              <w:top w:val="nil"/>
              <w:left w:val="nil"/>
              <w:bottom w:val="single" w:sz="4" w:space="0" w:color="auto"/>
              <w:right w:val="single" w:sz="4" w:space="0" w:color="auto"/>
            </w:tcBorders>
            <w:shd w:val="clear" w:color="auto" w:fill="auto"/>
            <w:vAlign w:val="bottom"/>
            <w:hideMark/>
          </w:tcPr>
          <w:p w14:paraId="567491E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38.17%</w:t>
            </w:r>
          </w:p>
        </w:tc>
      </w:tr>
      <w:tr w:rsidR="00A94968" w:rsidRPr="00A94968" w14:paraId="19EFB773"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2F0557A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210048</w:t>
            </w:r>
          </w:p>
        </w:tc>
        <w:tc>
          <w:tcPr>
            <w:tcW w:w="2260" w:type="dxa"/>
            <w:tcBorders>
              <w:top w:val="nil"/>
              <w:left w:val="nil"/>
              <w:bottom w:val="single" w:sz="4" w:space="0" w:color="auto"/>
              <w:right w:val="single" w:sz="4" w:space="0" w:color="auto"/>
            </w:tcBorders>
            <w:shd w:val="clear" w:color="000000" w:fill="FFFFFF"/>
            <w:vAlign w:val="bottom"/>
            <w:hideMark/>
          </w:tcPr>
          <w:p w14:paraId="7B0135A0"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Howard County</w:t>
            </w:r>
          </w:p>
        </w:tc>
        <w:tc>
          <w:tcPr>
            <w:tcW w:w="1400" w:type="dxa"/>
            <w:tcBorders>
              <w:top w:val="nil"/>
              <w:left w:val="nil"/>
              <w:bottom w:val="single" w:sz="4" w:space="0" w:color="auto"/>
              <w:right w:val="single" w:sz="4" w:space="0" w:color="auto"/>
            </w:tcBorders>
            <w:shd w:val="clear" w:color="000000" w:fill="FFFFFF"/>
            <w:vAlign w:val="bottom"/>
            <w:hideMark/>
          </w:tcPr>
          <w:p w14:paraId="78733AA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27%</w:t>
            </w:r>
          </w:p>
        </w:tc>
        <w:tc>
          <w:tcPr>
            <w:tcW w:w="1400" w:type="dxa"/>
            <w:tcBorders>
              <w:top w:val="nil"/>
              <w:left w:val="nil"/>
              <w:bottom w:val="single" w:sz="4" w:space="0" w:color="auto"/>
              <w:right w:val="single" w:sz="4" w:space="0" w:color="auto"/>
            </w:tcBorders>
            <w:shd w:val="clear" w:color="auto" w:fill="auto"/>
            <w:noWrap/>
            <w:vAlign w:val="bottom"/>
            <w:hideMark/>
          </w:tcPr>
          <w:p w14:paraId="779DF880"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02532CA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50%</w:t>
            </w:r>
          </w:p>
        </w:tc>
        <w:tc>
          <w:tcPr>
            <w:tcW w:w="1400" w:type="dxa"/>
            <w:tcBorders>
              <w:top w:val="nil"/>
              <w:left w:val="nil"/>
              <w:bottom w:val="single" w:sz="4" w:space="0" w:color="auto"/>
              <w:right w:val="single" w:sz="4" w:space="0" w:color="auto"/>
            </w:tcBorders>
            <w:shd w:val="clear" w:color="000000" w:fill="FFFFFF"/>
            <w:vAlign w:val="bottom"/>
            <w:hideMark/>
          </w:tcPr>
          <w:p w14:paraId="4BE3E62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53%</w:t>
            </w:r>
          </w:p>
        </w:tc>
        <w:tc>
          <w:tcPr>
            <w:tcW w:w="1400" w:type="dxa"/>
            <w:tcBorders>
              <w:top w:val="nil"/>
              <w:left w:val="nil"/>
              <w:bottom w:val="single" w:sz="4" w:space="0" w:color="auto"/>
              <w:right w:val="single" w:sz="4" w:space="0" w:color="auto"/>
            </w:tcBorders>
            <w:shd w:val="clear" w:color="auto" w:fill="auto"/>
            <w:vAlign w:val="bottom"/>
            <w:hideMark/>
          </w:tcPr>
          <w:p w14:paraId="0100E22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41.67%</w:t>
            </w:r>
          </w:p>
        </w:tc>
      </w:tr>
      <w:tr w:rsidR="00A94968" w:rsidRPr="00A94968" w14:paraId="1071972F"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1C5D77B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210049</w:t>
            </w:r>
          </w:p>
        </w:tc>
        <w:tc>
          <w:tcPr>
            <w:tcW w:w="2260" w:type="dxa"/>
            <w:tcBorders>
              <w:top w:val="nil"/>
              <w:left w:val="nil"/>
              <w:bottom w:val="single" w:sz="4" w:space="0" w:color="auto"/>
              <w:right w:val="single" w:sz="4" w:space="0" w:color="auto"/>
            </w:tcBorders>
            <w:shd w:val="clear" w:color="000000" w:fill="FFFFFF"/>
            <w:vAlign w:val="bottom"/>
            <w:hideMark/>
          </w:tcPr>
          <w:p w14:paraId="48C78582"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UM-Upper Chesapeake</w:t>
            </w:r>
          </w:p>
        </w:tc>
        <w:tc>
          <w:tcPr>
            <w:tcW w:w="1400" w:type="dxa"/>
            <w:tcBorders>
              <w:top w:val="nil"/>
              <w:left w:val="nil"/>
              <w:bottom w:val="single" w:sz="4" w:space="0" w:color="auto"/>
              <w:right w:val="single" w:sz="4" w:space="0" w:color="auto"/>
            </w:tcBorders>
            <w:shd w:val="clear" w:color="000000" w:fill="FFFFFF"/>
            <w:vAlign w:val="bottom"/>
            <w:hideMark/>
          </w:tcPr>
          <w:p w14:paraId="2959A76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31%</w:t>
            </w:r>
          </w:p>
        </w:tc>
        <w:tc>
          <w:tcPr>
            <w:tcW w:w="1400" w:type="dxa"/>
            <w:tcBorders>
              <w:top w:val="nil"/>
              <w:left w:val="nil"/>
              <w:bottom w:val="single" w:sz="4" w:space="0" w:color="auto"/>
              <w:right w:val="single" w:sz="4" w:space="0" w:color="auto"/>
            </w:tcBorders>
            <w:shd w:val="clear" w:color="auto" w:fill="auto"/>
            <w:noWrap/>
            <w:vAlign w:val="bottom"/>
            <w:hideMark/>
          </w:tcPr>
          <w:p w14:paraId="6F76F99F"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000000" w:fill="FFFFFF"/>
            <w:vAlign w:val="bottom"/>
            <w:hideMark/>
          </w:tcPr>
          <w:p w14:paraId="42532A3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0B88728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57%</w:t>
            </w:r>
          </w:p>
        </w:tc>
        <w:tc>
          <w:tcPr>
            <w:tcW w:w="1400" w:type="dxa"/>
            <w:tcBorders>
              <w:top w:val="nil"/>
              <w:left w:val="nil"/>
              <w:bottom w:val="single" w:sz="4" w:space="0" w:color="auto"/>
              <w:right w:val="single" w:sz="4" w:space="0" w:color="auto"/>
            </w:tcBorders>
            <w:shd w:val="clear" w:color="auto" w:fill="auto"/>
            <w:vAlign w:val="bottom"/>
            <w:hideMark/>
          </w:tcPr>
          <w:p w14:paraId="0C9D7A8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46.33%</w:t>
            </w:r>
          </w:p>
        </w:tc>
      </w:tr>
      <w:tr w:rsidR="00A94968" w:rsidRPr="00A94968" w14:paraId="69DC23E1"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70C1A44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210051</w:t>
            </w:r>
          </w:p>
        </w:tc>
        <w:tc>
          <w:tcPr>
            <w:tcW w:w="2260" w:type="dxa"/>
            <w:tcBorders>
              <w:top w:val="nil"/>
              <w:left w:val="nil"/>
              <w:bottom w:val="single" w:sz="4" w:space="0" w:color="auto"/>
              <w:right w:val="single" w:sz="4" w:space="0" w:color="auto"/>
            </w:tcBorders>
            <w:shd w:val="clear" w:color="000000" w:fill="FFFFFF"/>
            <w:vAlign w:val="bottom"/>
            <w:hideMark/>
          </w:tcPr>
          <w:p w14:paraId="4FC79566"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Doctors</w:t>
            </w:r>
          </w:p>
        </w:tc>
        <w:tc>
          <w:tcPr>
            <w:tcW w:w="1400" w:type="dxa"/>
            <w:tcBorders>
              <w:top w:val="nil"/>
              <w:left w:val="nil"/>
              <w:bottom w:val="single" w:sz="4" w:space="0" w:color="auto"/>
              <w:right w:val="single" w:sz="4" w:space="0" w:color="auto"/>
            </w:tcBorders>
            <w:shd w:val="clear" w:color="000000" w:fill="FFFFFF"/>
            <w:vAlign w:val="bottom"/>
            <w:hideMark/>
          </w:tcPr>
          <w:p w14:paraId="36BB5C0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16%</w:t>
            </w:r>
          </w:p>
        </w:tc>
        <w:tc>
          <w:tcPr>
            <w:tcW w:w="1400" w:type="dxa"/>
            <w:tcBorders>
              <w:top w:val="nil"/>
              <w:left w:val="nil"/>
              <w:bottom w:val="single" w:sz="4" w:space="0" w:color="auto"/>
              <w:right w:val="single" w:sz="4" w:space="0" w:color="auto"/>
            </w:tcBorders>
            <w:shd w:val="clear" w:color="auto" w:fill="auto"/>
            <w:noWrap/>
            <w:vAlign w:val="bottom"/>
            <w:hideMark/>
          </w:tcPr>
          <w:p w14:paraId="4CC6103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65691D7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000000" w:fill="FFFFFF"/>
            <w:vAlign w:val="bottom"/>
            <w:hideMark/>
          </w:tcPr>
          <w:p w14:paraId="0C9C585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82%</w:t>
            </w:r>
          </w:p>
        </w:tc>
        <w:tc>
          <w:tcPr>
            <w:tcW w:w="1400" w:type="dxa"/>
            <w:tcBorders>
              <w:top w:val="nil"/>
              <w:left w:val="nil"/>
              <w:bottom w:val="single" w:sz="4" w:space="0" w:color="auto"/>
              <w:right w:val="single" w:sz="4" w:space="0" w:color="auto"/>
            </w:tcBorders>
            <w:shd w:val="clear" w:color="auto" w:fill="auto"/>
            <w:vAlign w:val="bottom"/>
            <w:hideMark/>
          </w:tcPr>
          <w:p w14:paraId="64F6C47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43.70%</w:t>
            </w:r>
          </w:p>
        </w:tc>
      </w:tr>
      <w:tr w:rsidR="00A94968" w:rsidRPr="00A94968" w14:paraId="7A1239DD"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D596B5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210056</w:t>
            </w:r>
          </w:p>
        </w:tc>
        <w:tc>
          <w:tcPr>
            <w:tcW w:w="2260" w:type="dxa"/>
            <w:tcBorders>
              <w:top w:val="nil"/>
              <w:left w:val="nil"/>
              <w:bottom w:val="single" w:sz="4" w:space="0" w:color="auto"/>
              <w:right w:val="single" w:sz="4" w:space="0" w:color="auto"/>
            </w:tcBorders>
            <w:shd w:val="clear" w:color="000000" w:fill="FFFFFF"/>
            <w:vAlign w:val="bottom"/>
            <w:hideMark/>
          </w:tcPr>
          <w:p w14:paraId="2A77EB6F"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Good Sam</w:t>
            </w:r>
          </w:p>
        </w:tc>
        <w:tc>
          <w:tcPr>
            <w:tcW w:w="1400" w:type="dxa"/>
            <w:tcBorders>
              <w:top w:val="nil"/>
              <w:left w:val="nil"/>
              <w:bottom w:val="single" w:sz="4" w:space="0" w:color="auto"/>
              <w:right w:val="single" w:sz="4" w:space="0" w:color="auto"/>
            </w:tcBorders>
            <w:shd w:val="clear" w:color="000000" w:fill="FFFFFF"/>
            <w:vAlign w:val="bottom"/>
            <w:hideMark/>
          </w:tcPr>
          <w:p w14:paraId="558FBA5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18%</w:t>
            </w:r>
          </w:p>
        </w:tc>
        <w:tc>
          <w:tcPr>
            <w:tcW w:w="1400" w:type="dxa"/>
            <w:tcBorders>
              <w:top w:val="nil"/>
              <w:left w:val="nil"/>
              <w:bottom w:val="single" w:sz="4" w:space="0" w:color="auto"/>
              <w:right w:val="single" w:sz="4" w:space="0" w:color="auto"/>
            </w:tcBorders>
            <w:shd w:val="clear" w:color="auto" w:fill="auto"/>
            <w:noWrap/>
            <w:vAlign w:val="bottom"/>
            <w:hideMark/>
          </w:tcPr>
          <w:p w14:paraId="05ECA49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627276B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000000" w:fill="FFFFFF"/>
            <w:vAlign w:val="bottom"/>
            <w:hideMark/>
          </w:tcPr>
          <w:p w14:paraId="5C421A9B"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38%</w:t>
            </w:r>
          </w:p>
        </w:tc>
        <w:tc>
          <w:tcPr>
            <w:tcW w:w="1400" w:type="dxa"/>
            <w:tcBorders>
              <w:top w:val="nil"/>
              <w:left w:val="nil"/>
              <w:bottom w:val="single" w:sz="4" w:space="0" w:color="auto"/>
              <w:right w:val="single" w:sz="4" w:space="0" w:color="auto"/>
            </w:tcBorders>
            <w:shd w:val="clear" w:color="auto" w:fill="auto"/>
            <w:vAlign w:val="bottom"/>
            <w:hideMark/>
          </w:tcPr>
          <w:p w14:paraId="6F03A65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30.30%</w:t>
            </w:r>
          </w:p>
        </w:tc>
      </w:tr>
      <w:tr w:rsidR="00A94968" w:rsidRPr="00A94968" w14:paraId="06E599D1"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2842CBB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210057</w:t>
            </w:r>
          </w:p>
        </w:tc>
        <w:tc>
          <w:tcPr>
            <w:tcW w:w="2260" w:type="dxa"/>
            <w:tcBorders>
              <w:top w:val="nil"/>
              <w:left w:val="nil"/>
              <w:bottom w:val="single" w:sz="4" w:space="0" w:color="auto"/>
              <w:right w:val="single" w:sz="4" w:space="0" w:color="auto"/>
            </w:tcBorders>
            <w:shd w:val="clear" w:color="000000" w:fill="FFFFFF"/>
            <w:vAlign w:val="bottom"/>
            <w:hideMark/>
          </w:tcPr>
          <w:p w14:paraId="258D419C"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Shady Grove</w:t>
            </w:r>
          </w:p>
        </w:tc>
        <w:tc>
          <w:tcPr>
            <w:tcW w:w="1400" w:type="dxa"/>
            <w:tcBorders>
              <w:top w:val="nil"/>
              <w:left w:val="nil"/>
              <w:bottom w:val="single" w:sz="4" w:space="0" w:color="auto"/>
              <w:right w:val="single" w:sz="4" w:space="0" w:color="auto"/>
            </w:tcBorders>
            <w:shd w:val="clear" w:color="000000" w:fill="FFFFFF"/>
            <w:vAlign w:val="bottom"/>
            <w:hideMark/>
          </w:tcPr>
          <w:p w14:paraId="371ABE4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18%</w:t>
            </w:r>
          </w:p>
        </w:tc>
        <w:tc>
          <w:tcPr>
            <w:tcW w:w="1400" w:type="dxa"/>
            <w:tcBorders>
              <w:top w:val="nil"/>
              <w:left w:val="nil"/>
              <w:bottom w:val="single" w:sz="4" w:space="0" w:color="auto"/>
              <w:right w:val="single" w:sz="4" w:space="0" w:color="auto"/>
            </w:tcBorders>
            <w:shd w:val="clear" w:color="auto" w:fill="auto"/>
            <w:noWrap/>
            <w:vAlign w:val="bottom"/>
            <w:hideMark/>
          </w:tcPr>
          <w:p w14:paraId="1801D9D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000000" w:fill="FFFFFF"/>
            <w:vAlign w:val="bottom"/>
            <w:hideMark/>
          </w:tcPr>
          <w:p w14:paraId="1A0F149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4F9534D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45%</w:t>
            </w:r>
          </w:p>
        </w:tc>
        <w:tc>
          <w:tcPr>
            <w:tcW w:w="1400" w:type="dxa"/>
            <w:tcBorders>
              <w:top w:val="nil"/>
              <w:left w:val="nil"/>
              <w:bottom w:val="single" w:sz="4" w:space="0" w:color="auto"/>
              <w:right w:val="single" w:sz="4" w:space="0" w:color="auto"/>
            </w:tcBorders>
            <w:shd w:val="clear" w:color="auto" w:fill="auto"/>
            <w:vAlign w:val="bottom"/>
            <w:hideMark/>
          </w:tcPr>
          <w:p w14:paraId="2A18724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29.25%</w:t>
            </w:r>
          </w:p>
        </w:tc>
      </w:tr>
      <w:tr w:rsidR="00A94968" w:rsidRPr="00A94968" w14:paraId="5EFE0CBF"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314A8FF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210060</w:t>
            </w:r>
          </w:p>
        </w:tc>
        <w:tc>
          <w:tcPr>
            <w:tcW w:w="2260" w:type="dxa"/>
            <w:tcBorders>
              <w:top w:val="nil"/>
              <w:left w:val="nil"/>
              <w:bottom w:val="single" w:sz="4" w:space="0" w:color="auto"/>
              <w:right w:val="single" w:sz="4" w:space="0" w:color="auto"/>
            </w:tcBorders>
            <w:shd w:val="clear" w:color="000000" w:fill="FFFFFF"/>
            <w:vAlign w:val="bottom"/>
            <w:hideMark/>
          </w:tcPr>
          <w:p w14:paraId="1482A512"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Ft. Washington</w:t>
            </w:r>
          </w:p>
        </w:tc>
        <w:tc>
          <w:tcPr>
            <w:tcW w:w="1400" w:type="dxa"/>
            <w:tcBorders>
              <w:top w:val="nil"/>
              <w:left w:val="nil"/>
              <w:bottom w:val="single" w:sz="4" w:space="0" w:color="auto"/>
              <w:right w:val="single" w:sz="4" w:space="0" w:color="auto"/>
            </w:tcBorders>
            <w:shd w:val="clear" w:color="000000" w:fill="FFFFFF"/>
            <w:vAlign w:val="bottom"/>
            <w:hideMark/>
          </w:tcPr>
          <w:p w14:paraId="730353F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15%</w:t>
            </w:r>
          </w:p>
        </w:tc>
        <w:tc>
          <w:tcPr>
            <w:tcW w:w="1400" w:type="dxa"/>
            <w:tcBorders>
              <w:top w:val="nil"/>
              <w:left w:val="nil"/>
              <w:bottom w:val="single" w:sz="4" w:space="0" w:color="auto"/>
              <w:right w:val="single" w:sz="4" w:space="0" w:color="auto"/>
            </w:tcBorders>
            <w:shd w:val="clear" w:color="auto" w:fill="auto"/>
            <w:noWrap/>
            <w:vAlign w:val="bottom"/>
            <w:hideMark/>
          </w:tcPr>
          <w:p w14:paraId="61B82B6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000000" w:fill="FFFFFF"/>
            <w:vAlign w:val="bottom"/>
            <w:hideMark/>
          </w:tcPr>
          <w:p w14:paraId="7166DD9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40%</w:t>
            </w:r>
          </w:p>
        </w:tc>
        <w:tc>
          <w:tcPr>
            <w:tcW w:w="1400" w:type="dxa"/>
            <w:tcBorders>
              <w:top w:val="nil"/>
              <w:left w:val="nil"/>
              <w:bottom w:val="single" w:sz="4" w:space="0" w:color="auto"/>
              <w:right w:val="single" w:sz="4" w:space="0" w:color="auto"/>
            </w:tcBorders>
            <w:shd w:val="clear" w:color="000000" w:fill="FFFFFF"/>
            <w:vAlign w:val="bottom"/>
            <w:hideMark/>
          </w:tcPr>
          <w:p w14:paraId="124F163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w:t>
            </w:r>
          </w:p>
        </w:tc>
        <w:tc>
          <w:tcPr>
            <w:tcW w:w="1400" w:type="dxa"/>
            <w:tcBorders>
              <w:top w:val="nil"/>
              <w:left w:val="nil"/>
              <w:bottom w:val="single" w:sz="4" w:space="0" w:color="auto"/>
              <w:right w:val="single" w:sz="4" w:space="0" w:color="auto"/>
            </w:tcBorders>
            <w:shd w:val="clear" w:color="auto" w:fill="auto"/>
            <w:vAlign w:val="bottom"/>
            <w:hideMark/>
          </w:tcPr>
          <w:p w14:paraId="7F14E0B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23.75%</w:t>
            </w:r>
          </w:p>
        </w:tc>
      </w:tr>
      <w:tr w:rsidR="00A94968" w:rsidRPr="00A94968" w14:paraId="1E95FD7A"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533BD8D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210061</w:t>
            </w:r>
          </w:p>
        </w:tc>
        <w:tc>
          <w:tcPr>
            <w:tcW w:w="2260" w:type="dxa"/>
            <w:tcBorders>
              <w:top w:val="nil"/>
              <w:left w:val="nil"/>
              <w:bottom w:val="single" w:sz="4" w:space="0" w:color="auto"/>
              <w:right w:val="single" w:sz="4" w:space="0" w:color="auto"/>
            </w:tcBorders>
            <w:shd w:val="clear" w:color="000000" w:fill="FFFFFF"/>
            <w:vAlign w:val="bottom"/>
            <w:hideMark/>
          </w:tcPr>
          <w:p w14:paraId="39F9DD89"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Atlantic General</w:t>
            </w:r>
          </w:p>
        </w:tc>
        <w:tc>
          <w:tcPr>
            <w:tcW w:w="1400" w:type="dxa"/>
            <w:tcBorders>
              <w:top w:val="nil"/>
              <w:left w:val="nil"/>
              <w:bottom w:val="single" w:sz="4" w:space="0" w:color="auto"/>
              <w:right w:val="single" w:sz="4" w:space="0" w:color="auto"/>
            </w:tcBorders>
            <w:shd w:val="clear" w:color="000000" w:fill="FFFFFF"/>
            <w:vAlign w:val="bottom"/>
            <w:hideMark/>
          </w:tcPr>
          <w:p w14:paraId="41B4A42A"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35%</w:t>
            </w:r>
          </w:p>
        </w:tc>
        <w:tc>
          <w:tcPr>
            <w:tcW w:w="1400" w:type="dxa"/>
            <w:tcBorders>
              <w:top w:val="nil"/>
              <w:left w:val="nil"/>
              <w:bottom w:val="single" w:sz="4" w:space="0" w:color="auto"/>
              <w:right w:val="single" w:sz="4" w:space="0" w:color="auto"/>
            </w:tcBorders>
            <w:shd w:val="clear" w:color="auto" w:fill="auto"/>
            <w:noWrap/>
            <w:vAlign w:val="bottom"/>
            <w:hideMark/>
          </w:tcPr>
          <w:p w14:paraId="4A0ABF77"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70%</w:t>
            </w:r>
          </w:p>
        </w:tc>
        <w:tc>
          <w:tcPr>
            <w:tcW w:w="1400" w:type="dxa"/>
            <w:tcBorders>
              <w:top w:val="nil"/>
              <w:left w:val="nil"/>
              <w:bottom w:val="single" w:sz="4" w:space="0" w:color="auto"/>
              <w:right w:val="single" w:sz="4" w:space="0" w:color="auto"/>
            </w:tcBorders>
            <w:shd w:val="clear" w:color="000000" w:fill="FFFFFF"/>
            <w:vAlign w:val="bottom"/>
            <w:hideMark/>
          </w:tcPr>
          <w:p w14:paraId="19601AC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000000" w:fill="FFFFFF"/>
            <w:vAlign w:val="bottom"/>
            <w:hideMark/>
          </w:tcPr>
          <w:p w14:paraId="16EF7F3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60%</w:t>
            </w:r>
          </w:p>
        </w:tc>
        <w:tc>
          <w:tcPr>
            <w:tcW w:w="1400" w:type="dxa"/>
            <w:tcBorders>
              <w:top w:val="nil"/>
              <w:left w:val="nil"/>
              <w:bottom w:val="single" w:sz="4" w:space="0" w:color="auto"/>
              <w:right w:val="single" w:sz="4" w:space="0" w:color="auto"/>
            </w:tcBorders>
            <w:shd w:val="clear" w:color="auto" w:fill="auto"/>
            <w:vAlign w:val="bottom"/>
            <w:hideMark/>
          </w:tcPr>
          <w:p w14:paraId="7CF0025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46.00%</w:t>
            </w:r>
          </w:p>
        </w:tc>
      </w:tr>
      <w:tr w:rsidR="00A94968" w:rsidRPr="00A94968" w14:paraId="2FBC7CDE"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7B29E43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210062</w:t>
            </w:r>
          </w:p>
        </w:tc>
        <w:tc>
          <w:tcPr>
            <w:tcW w:w="2260" w:type="dxa"/>
            <w:tcBorders>
              <w:top w:val="nil"/>
              <w:left w:val="nil"/>
              <w:bottom w:val="single" w:sz="4" w:space="0" w:color="auto"/>
              <w:right w:val="single" w:sz="4" w:space="0" w:color="auto"/>
            </w:tcBorders>
            <w:shd w:val="clear" w:color="000000" w:fill="FFFFFF"/>
            <w:vAlign w:val="bottom"/>
            <w:hideMark/>
          </w:tcPr>
          <w:p w14:paraId="112438D2"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MedStar Southern MD</w:t>
            </w:r>
          </w:p>
        </w:tc>
        <w:tc>
          <w:tcPr>
            <w:tcW w:w="1400" w:type="dxa"/>
            <w:tcBorders>
              <w:top w:val="nil"/>
              <w:left w:val="nil"/>
              <w:bottom w:val="single" w:sz="4" w:space="0" w:color="auto"/>
              <w:right w:val="single" w:sz="4" w:space="0" w:color="auto"/>
            </w:tcBorders>
            <w:shd w:val="clear" w:color="000000" w:fill="FFFFFF"/>
            <w:vAlign w:val="bottom"/>
            <w:hideMark/>
          </w:tcPr>
          <w:p w14:paraId="35A47E12"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19%</w:t>
            </w:r>
          </w:p>
        </w:tc>
        <w:tc>
          <w:tcPr>
            <w:tcW w:w="1400" w:type="dxa"/>
            <w:tcBorders>
              <w:top w:val="nil"/>
              <w:left w:val="nil"/>
              <w:bottom w:val="single" w:sz="4" w:space="0" w:color="auto"/>
              <w:right w:val="single" w:sz="4" w:space="0" w:color="auto"/>
            </w:tcBorders>
            <w:shd w:val="clear" w:color="auto" w:fill="auto"/>
            <w:noWrap/>
            <w:vAlign w:val="bottom"/>
            <w:hideMark/>
          </w:tcPr>
          <w:p w14:paraId="028551B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20%</w:t>
            </w:r>
          </w:p>
        </w:tc>
        <w:tc>
          <w:tcPr>
            <w:tcW w:w="1400" w:type="dxa"/>
            <w:tcBorders>
              <w:top w:val="nil"/>
              <w:left w:val="nil"/>
              <w:bottom w:val="single" w:sz="4" w:space="0" w:color="auto"/>
              <w:right w:val="single" w:sz="4" w:space="0" w:color="auto"/>
            </w:tcBorders>
            <w:shd w:val="clear" w:color="000000" w:fill="FFFFFF"/>
            <w:vAlign w:val="bottom"/>
            <w:hideMark/>
          </w:tcPr>
          <w:p w14:paraId="4F9C4613"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100%</w:t>
            </w:r>
          </w:p>
        </w:tc>
        <w:tc>
          <w:tcPr>
            <w:tcW w:w="1400" w:type="dxa"/>
            <w:tcBorders>
              <w:top w:val="nil"/>
              <w:left w:val="nil"/>
              <w:bottom w:val="single" w:sz="4" w:space="0" w:color="auto"/>
              <w:right w:val="single" w:sz="4" w:space="0" w:color="auto"/>
            </w:tcBorders>
            <w:shd w:val="clear" w:color="000000" w:fill="FFFFFF"/>
            <w:vAlign w:val="bottom"/>
            <w:hideMark/>
          </w:tcPr>
          <w:p w14:paraId="39391F0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45%</w:t>
            </w:r>
          </w:p>
        </w:tc>
        <w:tc>
          <w:tcPr>
            <w:tcW w:w="1400" w:type="dxa"/>
            <w:tcBorders>
              <w:top w:val="nil"/>
              <w:left w:val="nil"/>
              <w:bottom w:val="single" w:sz="4" w:space="0" w:color="auto"/>
              <w:right w:val="single" w:sz="4" w:space="0" w:color="auto"/>
            </w:tcBorders>
            <w:shd w:val="clear" w:color="auto" w:fill="auto"/>
            <w:vAlign w:val="bottom"/>
            <w:hideMark/>
          </w:tcPr>
          <w:p w14:paraId="5F67E4A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32.25%</w:t>
            </w:r>
          </w:p>
        </w:tc>
      </w:tr>
      <w:tr w:rsidR="00A94968" w:rsidRPr="00A94968" w14:paraId="1BF663DB"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D0F1714"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210063</w:t>
            </w:r>
          </w:p>
        </w:tc>
        <w:tc>
          <w:tcPr>
            <w:tcW w:w="2260" w:type="dxa"/>
            <w:tcBorders>
              <w:top w:val="nil"/>
              <w:left w:val="nil"/>
              <w:bottom w:val="single" w:sz="4" w:space="0" w:color="auto"/>
              <w:right w:val="single" w:sz="4" w:space="0" w:color="auto"/>
            </w:tcBorders>
            <w:shd w:val="clear" w:color="000000" w:fill="FFFFFF"/>
            <w:vAlign w:val="bottom"/>
            <w:hideMark/>
          </w:tcPr>
          <w:p w14:paraId="76F55093"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UM-St. Joe</w:t>
            </w:r>
          </w:p>
        </w:tc>
        <w:tc>
          <w:tcPr>
            <w:tcW w:w="1400" w:type="dxa"/>
            <w:tcBorders>
              <w:top w:val="nil"/>
              <w:left w:val="nil"/>
              <w:bottom w:val="single" w:sz="4" w:space="0" w:color="auto"/>
              <w:right w:val="single" w:sz="4" w:space="0" w:color="auto"/>
            </w:tcBorders>
            <w:shd w:val="clear" w:color="000000" w:fill="FFFFFF"/>
            <w:vAlign w:val="bottom"/>
            <w:hideMark/>
          </w:tcPr>
          <w:p w14:paraId="3C211069"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31%</w:t>
            </w:r>
          </w:p>
        </w:tc>
        <w:tc>
          <w:tcPr>
            <w:tcW w:w="1400" w:type="dxa"/>
            <w:tcBorders>
              <w:top w:val="nil"/>
              <w:left w:val="nil"/>
              <w:bottom w:val="single" w:sz="4" w:space="0" w:color="auto"/>
              <w:right w:val="single" w:sz="4" w:space="0" w:color="auto"/>
            </w:tcBorders>
            <w:shd w:val="clear" w:color="auto" w:fill="auto"/>
            <w:noWrap/>
            <w:vAlign w:val="bottom"/>
            <w:hideMark/>
          </w:tcPr>
          <w:p w14:paraId="5B7F7378"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90%</w:t>
            </w:r>
          </w:p>
        </w:tc>
        <w:tc>
          <w:tcPr>
            <w:tcW w:w="1400" w:type="dxa"/>
            <w:tcBorders>
              <w:top w:val="nil"/>
              <w:left w:val="nil"/>
              <w:bottom w:val="single" w:sz="4" w:space="0" w:color="auto"/>
              <w:right w:val="single" w:sz="4" w:space="0" w:color="auto"/>
            </w:tcBorders>
            <w:shd w:val="clear" w:color="000000" w:fill="FFFFFF"/>
            <w:vAlign w:val="bottom"/>
            <w:hideMark/>
          </w:tcPr>
          <w:p w14:paraId="437DAEF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w:t>
            </w:r>
          </w:p>
        </w:tc>
        <w:tc>
          <w:tcPr>
            <w:tcW w:w="1400" w:type="dxa"/>
            <w:tcBorders>
              <w:top w:val="nil"/>
              <w:left w:val="nil"/>
              <w:bottom w:val="single" w:sz="4" w:space="0" w:color="auto"/>
              <w:right w:val="single" w:sz="4" w:space="0" w:color="auto"/>
            </w:tcBorders>
            <w:shd w:val="clear" w:color="000000" w:fill="FFFFFF"/>
            <w:vAlign w:val="bottom"/>
            <w:hideMark/>
          </w:tcPr>
          <w:p w14:paraId="47AD200D"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63%</w:t>
            </w:r>
          </w:p>
        </w:tc>
        <w:tc>
          <w:tcPr>
            <w:tcW w:w="1400" w:type="dxa"/>
            <w:tcBorders>
              <w:top w:val="nil"/>
              <w:left w:val="nil"/>
              <w:bottom w:val="single" w:sz="4" w:space="0" w:color="auto"/>
              <w:right w:val="single" w:sz="4" w:space="0" w:color="auto"/>
            </w:tcBorders>
            <w:shd w:val="clear" w:color="auto" w:fill="auto"/>
            <w:vAlign w:val="bottom"/>
            <w:hideMark/>
          </w:tcPr>
          <w:p w14:paraId="57B37E0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51.17%</w:t>
            </w:r>
          </w:p>
        </w:tc>
      </w:tr>
      <w:tr w:rsidR="00A94968" w:rsidRPr="00A94968" w14:paraId="526CF1C2" w14:textId="77777777" w:rsidTr="00A94968">
        <w:trPr>
          <w:trHeight w:val="289"/>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56617A76"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210065</w:t>
            </w:r>
          </w:p>
        </w:tc>
        <w:tc>
          <w:tcPr>
            <w:tcW w:w="2260" w:type="dxa"/>
            <w:tcBorders>
              <w:top w:val="nil"/>
              <w:left w:val="nil"/>
              <w:bottom w:val="single" w:sz="4" w:space="0" w:color="auto"/>
              <w:right w:val="single" w:sz="4" w:space="0" w:color="auto"/>
            </w:tcBorders>
            <w:shd w:val="clear" w:color="000000" w:fill="FFFFFF"/>
            <w:vAlign w:val="bottom"/>
            <w:hideMark/>
          </w:tcPr>
          <w:p w14:paraId="74A3D9A8" w14:textId="77777777" w:rsidR="00A94968" w:rsidRPr="00A94968" w:rsidRDefault="00A94968" w:rsidP="00A94968">
            <w:pPr>
              <w:spacing w:before="0" w:after="0"/>
              <w:rPr>
                <w:rFonts w:ascii="Arial" w:hAnsi="Arial" w:cs="Arial"/>
                <w:sz w:val="20"/>
                <w:szCs w:val="20"/>
              </w:rPr>
            </w:pPr>
            <w:r w:rsidRPr="00A94968">
              <w:rPr>
                <w:rFonts w:ascii="Arial" w:hAnsi="Arial" w:cs="Arial"/>
                <w:sz w:val="20"/>
                <w:szCs w:val="20"/>
              </w:rPr>
              <w:t>HC-Germantown</w:t>
            </w:r>
          </w:p>
        </w:tc>
        <w:tc>
          <w:tcPr>
            <w:tcW w:w="1400" w:type="dxa"/>
            <w:tcBorders>
              <w:top w:val="nil"/>
              <w:left w:val="nil"/>
              <w:bottom w:val="single" w:sz="4" w:space="0" w:color="auto"/>
              <w:right w:val="single" w:sz="4" w:space="0" w:color="auto"/>
            </w:tcBorders>
            <w:shd w:val="clear" w:color="000000" w:fill="FFFFFF"/>
            <w:vAlign w:val="bottom"/>
            <w:hideMark/>
          </w:tcPr>
          <w:p w14:paraId="4CE1E53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14%</w:t>
            </w:r>
          </w:p>
        </w:tc>
        <w:tc>
          <w:tcPr>
            <w:tcW w:w="1400" w:type="dxa"/>
            <w:tcBorders>
              <w:top w:val="nil"/>
              <w:left w:val="nil"/>
              <w:bottom w:val="single" w:sz="4" w:space="0" w:color="auto"/>
              <w:right w:val="single" w:sz="4" w:space="0" w:color="auto"/>
            </w:tcBorders>
            <w:shd w:val="clear" w:color="auto" w:fill="auto"/>
            <w:noWrap/>
            <w:vAlign w:val="bottom"/>
            <w:hideMark/>
          </w:tcPr>
          <w:p w14:paraId="11241B85"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80%</w:t>
            </w:r>
          </w:p>
        </w:tc>
        <w:tc>
          <w:tcPr>
            <w:tcW w:w="1400" w:type="dxa"/>
            <w:tcBorders>
              <w:top w:val="nil"/>
              <w:left w:val="nil"/>
              <w:bottom w:val="single" w:sz="4" w:space="0" w:color="auto"/>
              <w:right w:val="single" w:sz="4" w:space="0" w:color="auto"/>
            </w:tcBorders>
            <w:shd w:val="clear" w:color="000000" w:fill="FFFFFF"/>
            <w:vAlign w:val="bottom"/>
            <w:hideMark/>
          </w:tcPr>
          <w:p w14:paraId="3140864C"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w:t>
            </w:r>
          </w:p>
        </w:tc>
        <w:tc>
          <w:tcPr>
            <w:tcW w:w="1400" w:type="dxa"/>
            <w:tcBorders>
              <w:top w:val="nil"/>
              <w:left w:val="nil"/>
              <w:bottom w:val="single" w:sz="4" w:space="0" w:color="auto"/>
              <w:right w:val="single" w:sz="4" w:space="0" w:color="auto"/>
            </w:tcBorders>
            <w:shd w:val="clear" w:color="000000" w:fill="FFFFFF"/>
            <w:vAlign w:val="bottom"/>
            <w:hideMark/>
          </w:tcPr>
          <w:p w14:paraId="136CE84E"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10%</w:t>
            </w:r>
          </w:p>
        </w:tc>
        <w:tc>
          <w:tcPr>
            <w:tcW w:w="1400" w:type="dxa"/>
            <w:tcBorders>
              <w:top w:val="nil"/>
              <w:left w:val="nil"/>
              <w:bottom w:val="single" w:sz="4" w:space="0" w:color="auto"/>
              <w:right w:val="single" w:sz="4" w:space="0" w:color="auto"/>
            </w:tcBorders>
            <w:shd w:val="clear" w:color="auto" w:fill="auto"/>
            <w:vAlign w:val="bottom"/>
            <w:hideMark/>
          </w:tcPr>
          <w:p w14:paraId="5418B1E1" w14:textId="77777777" w:rsidR="00A94968" w:rsidRPr="00A94968" w:rsidRDefault="00A94968" w:rsidP="00A94968">
            <w:pPr>
              <w:spacing w:before="0" w:after="0"/>
              <w:jc w:val="right"/>
              <w:rPr>
                <w:rFonts w:ascii="Arial" w:hAnsi="Arial" w:cs="Arial"/>
                <w:sz w:val="20"/>
                <w:szCs w:val="20"/>
              </w:rPr>
            </w:pPr>
            <w:r w:rsidRPr="00A94968">
              <w:rPr>
                <w:rFonts w:ascii="Arial" w:hAnsi="Arial" w:cs="Arial"/>
                <w:sz w:val="20"/>
                <w:szCs w:val="20"/>
              </w:rPr>
              <w:t xml:space="preserve"> 22.50%</w:t>
            </w:r>
          </w:p>
        </w:tc>
      </w:tr>
    </w:tbl>
    <w:p w14:paraId="38838455" w14:textId="77777777" w:rsidR="00A94968" w:rsidRDefault="00A94968" w:rsidP="00830ED1">
      <w:pPr>
        <w:pBdr>
          <w:top w:val="nil"/>
          <w:left w:val="nil"/>
          <w:bottom w:val="nil"/>
          <w:right w:val="nil"/>
          <w:between w:val="nil"/>
        </w:pBdr>
        <w:sectPr w:rsidR="00A94968" w:rsidSect="00A94968">
          <w:pgSz w:w="12240" w:h="15840"/>
          <w:pgMar w:top="245" w:right="1620" w:bottom="245" w:left="576" w:header="720" w:footer="720" w:gutter="0"/>
          <w:cols w:space="720" w:equalWidth="0">
            <w:col w:w="9360"/>
          </w:cols>
          <w:docGrid w:linePitch="326"/>
        </w:sectPr>
      </w:pPr>
    </w:p>
    <w:p w14:paraId="28787717" w14:textId="63946AA0" w:rsidR="00030A10" w:rsidRPr="00355A3E" w:rsidRDefault="00556411" w:rsidP="00355A3E">
      <w:pPr>
        <w:pStyle w:val="Heading1"/>
      </w:pPr>
      <w:bookmarkStart w:id="49" w:name="_Toc26345157"/>
      <w:r w:rsidRPr="00355A3E">
        <w:lastRenderedPageBreak/>
        <w:t>A</w:t>
      </w:r>
      <w:r w:rsidR="00355A3E" w:rsidRPr="00355A3E">
        <w:t>ppendix VI. Modeling of QBR Program Revenue Adjustments</w:t>
      </w:r>
      <w:bookmarkEnd w:id="49"/>
    </w:p>
    <w:tbl>
      <w:tblPr>
        <w:tblW w:w="10890" w:type="dxa"/>
        <w:tblInd w:w="355" w:type="dxa"/>
        <w:tblLook w:val="04A0" w:firstRow="1" w:lastRow="0" w:firstColumn="1" w:lastColumn="0" w:noHBand="0" w:noVBand="1"/>
      </w:tblPr>
      <w:tblGrid>
        <w:gridCol w:w="883"/>
        <w:gridCol w:w="3060"/>
        <w:gridCol w:w="1800"/>
        <w:gridCol w:w="1800"/>
        <w:gridCol w:w="1620"/>
        <w:gridCol w:w="1890"/>
      </w:tblGrid>
      <w:tr w:rsidR="001E2681" w:rsidRPr="001E2681" w14:paraId="60975CA5" w14:textId="77777777" w:rsidTr="001E2681">
        <w:trPr>
          <w:trHeight w:val="990"/>
          <w:tblHeader/>
        </w:trPr>
        <w:tc>
          <w:tcPr>
            <w:tcW w:w="720"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307D6866"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HOSPID</w:t>
            </w:r>
          </w:p>
        </w:tc>
        <w:tc>
          <w:tcPr>
            <w:tcW w:w="3060" w:type="dxa"/>
            <w:tcBorders>
              <w:top w:val="single" w:sz="4" w:space="0" w:color="auto"/>
              <w:left w:val="nil"/>
              <w:bottom w:val="single" w:sz="4" w:space="0" w:color="auto"/>
              <w:right w:val="single" w:sz="4" w:space="0" w:color="auto"/>
            </w:tcBorders>
            <w:shd w:val="clear" w:color="000000" w:fill="D9D9D9"/>
            <w:tcMar>
              <w:left w:w="58" w:type="dxa"/>
              <w:right w:w="58" w:type="dxa"/>
            </w:tcMar>
            <w:vAlign w:val="center"/>
            <w:hideMark/>
          </w:tcPr>
          <w:p w14:paraId="561AEFFD"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HOSPITAL NAME</w:t>
            </w:r>
          </w:p>
        </w:tc>
        <w:tc>
          <w:tcPr>
            <w:tcW w:w="1800" w:type="dxa"/>
            <w:tcBorders>
              <w:top w:val="single" w:sz="4" w:space="0" w:color="auto"/>
              <w:left w:val="nil"/>
              <w:bottom w:val="single" w:sz="4" w:space="0" w:color="auto"/>
              <w:right w:val="single" w:sz="4" w:space="0" w:color="auto"/>
            </w:tcBorders>
            <w:shd w:val="clear" w:color="000000" w:fill="D9D9D9"/>
            <w:tcMar>
              <w:left w:w="58" w:type="dxa"/>
              <w:right w:w="58" w:type="dxa"/>
            </w:tcMar>
            <w:vAlign w:val="center"/>
            <w:hideMark/>
          </w:tcPr>
          <w:p w14:paraId="62759C11"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RY19 Permanent Inpatient Revenue</w:t>
            </w:r>
          </w:p>
        </w:tc>
        <w:tc>
          <w:tcPr>
            <w:tcW w:w="1800" w:type="dxa"/>
            <w:tcBorders>
              <w:top w:val="single" w:sz="4" w:space="0" w:color="auto"/>
              <w:left w:val="nil"/>
              <w:bottom w:val="single" w:sz="4" w:space="0" w:color="auto"/>
              <w:right w:val="single" w:sz="4" w:space="0" w:color="auto"/>
            </w:tcBorders>
            <w:shd w:val="clear" w:color="000000" w:fill="D9D9D9"/>
            <w:tcMar>
              <w:left w:w="58" w:type="dxa"/>
              <w:right w:w="58" w:type="dxa"/>
            </w:tcMar>
            <w:vAlign w:val="center"/>
            <w:hideMark/>
          </w:tcPr>
          <w:p w14:paraId="54F12C3D"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 xml:space="preserve"> RY 2022 Modeled QBR Points</w:t>
            </w:r>
          </w:p>
        </w:tc>
        <w:tc>
          <w:tcPr>
            <w:tcW w:w="1620" w:type="dxa"/>
            <w:tcBorders>
              <w:top w:val="single" w:sz="4" w:space="0" w:color="auto"/>
              <w:left w:val="nil"/>
              <w:bottom w:val="single" w:sz="4" w:space="0" w:color="auto"/>
              <w:right w:val="single" w:sz="4" w:space="0" w:color="auto"/>
            </w:tcBorders>
            <w:shd w:val="clear" w:color="000000" w:fill="D9D9D9"/>
            <w:tcMar>
              <w:left w:w="58" w:type="dxa"/>
              <w:right w:w="58" w:type="dxa"/>
            </w:tcMar>
            <w:vAlign w:val="center"/>
            <w:hideMark/>
          </w:tcPr>
          <w:p w14:paraId="433B07DC"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 Revenue Impact</w:t>
            </w:r>
          </w:p>
        </w:tc>
        <w:tc>
          <w:tcPr>
            <w:tcW w:w="1890" w:type="dxa"/>
            <w:tcBorders>
              <w:top w:val="single" w:sz="4" w:space="0" w:color="auto"/>
              <w:left w:val="nil"/>
              <w:bottom w:val="single" w:sz="4" w:space="0" w:color="auto"/>
              <w:right w:val="single" w:sz="4" w:space="0" w:color="auto"/>
            </w:tcBorders>
            <w:shd w:val="clear" w:color="000000" w:fill="D9D9D9"/>
            <w:tcMar>
              <w:left w:w="58" w:type="dxa"/>
              <w:right w:w="58" w:type="dxa"/>
            </w:tcMar>
            <w:vAlign w:val="center"/>
            <w:hideMark/>
          </w:tcPr>
          <w:p w14:paraId="4AA96BBF"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 Revenue Impact</w:t>
            </w:r>
          </w:p>
        </w:tc>
      </w:tr>
      <w:tr w:rsidR="001E2681" w:rsidRPr="001E2681" w14:paraId="2E340A80"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29CA131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210001</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484C0BF6"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MERITUS</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873C0B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$219,551,750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BB44ED1"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27.17%</w:t>
            </w:r>
          </w:p>
        </w:tc>
        <w:tc>
          <w:tcPr>
            <w:tcW w:w="1620" w:type="dxa"/>
            <w:tcBorders>
              <w:top w:val="single" w:sz="4" w:space="0" w:color="auto"/>
              <w:left w:val="single" w:sz="4" w:space="0" w:color="auto"/>
              <w:bottom w:val="single" w:sz="4" w:space="0" w:color="auto"/>
              <w:right w:val="single" w:sz="4" w:space="0" w:color="auto"/>
            </w:tcBorders>
            <w:shd w:val="clear" w:color="000000" w:fill="FBB5B6"/>
            <w:noWrap/>
            <w:tcMar>
              <w:left w:w="58" w:type="dxa"/>
              <w:right w:w="58" w:type="dxa"/>
            </w:tcMar>
            <w:vAlign w:val="center"/>
            <w:hideMark/>
          </w:tcPr>
          <w:p w14:paraId="4F40A62E"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-0.67%</w:t>
            </w:r>
          </w:p>
        </w:tc>
        <w:tc>
          <w:tcPr>
            <w:tcW w:w="1890" w:type="dxa"/>
            <w:tcBorders>
              <w:top w:val="single" w:sz="4" w:space="0" w:color="auto"/>
              <w:left w:val="single" w:sz="4" w:space="0" w:color="auto"/>
              <w:bottom w:val="single" w:sz="4" w:space="0" w:color="auto"/>
              <w:right w:val="single" w:sz="4" w:space="0" w:color="auto"/>
            </w:tcBorders>
            <w:shd w:val="clear" w:color="000000" w:fill="FDE6E6"/>
            <w:noWrap/>
            <w:tcMar>
              <w:left w:w="58" w:type="dxa"/>
              <w:right w:w="58" w:type="dxa"/>
            </w:tcMar>
            <w:vAlign w:val="center"/>
            <w:hideMark/>
          </w:tcPr>
          <w:p w14:paraId="7E340F18"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-$1,470,997</w:t>
            </w:r>
          </w:p>
        </w:tc>
      </w:tr>
      <w:tr w:rsidR="001E2681" w:rsidRPr="001E2681" w14:paraId="63B9263A"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D8390D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210002</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5B59493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UNIVERSITY OF MARYLAND</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0B5BE35C"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$1,203,673,856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F2E025B"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25.58%</w:t>
            </w:r>
          </w:p>
        </w:tc>
        <w:tc>
          <w:tcPr>
            <w:tcW w:w="1620" w:type="dxa"/>
            <w:tcBorders>
              <w:top w:val="single" w:sz="4" w:space="0" w:color="auto"/>
              <w:left w:val="single" w:sz="4" w:space="0" w:color="auto"/>
              <w:bottom w:val="single" w:sz="4" w:space="0" w:color="auto"/>
              <w:right w:val="single" w:sz="4" w:space="0" w:color="auto"/>
            </w:tcBorders>
            <w:shd w:val="clear" w:color="000000" w:fill="FBACAD"/>
            <w:noWrap/>
            <w:tcMar>
              <w:left w:w="58" w:type="dxa"/>
              <w:right w:w="58" w:type="dxa"/>
            </w:tcMar>
            <w:vAlign w:val="center"/>
            <w:hideMark/>
          </w:tcPr>
          <w:p w14:paraId="031D5745"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-0.75%</w:t>
            </w:r>
          </w:p>
        </w:tc>
        <w:tc>
          <w:tcPr>
            <w:tcW w:w="1890" w:type="dxa"/>
            <w:tcBorders>
              <w:top w:val="single" w:sz="4" w:space="0" w:color="auto"/>
              <w:left w:val="single" w:sz="4" w:space="0" w:color="auto"/>
              <w:bottom w:val="single" w:sz="4" w:space="0" w:color="auto"/>
              <w:right w:val="single" w:sz="4" w:space="0" w:color="auto"/>
            </w:tcBorders>
            <w:shd w:val="clear" w:color="000000" w:fill="F8696B"/>
            <w:noWrap/>
            <w:tcMar>
              <w:left w:w="58" w:type="dxa"/>
              <w:right w:w="58" w:type="dxa"/>
            </w:tcMar>
            <w:vAlign w:val="center"/>
            <w:hideMark/>
          </w:tcPr>
          <w:p w14:paraId="17A9AF5C"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-$9,027,554</w:t>
            </w:r>
          </w:p>
        </w:tc>
      </w:tr>
      <w:tr w:rsidR="001E2681" w:rsidRPr="001E2681" w14:paraId="6A747FFA"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50FC6CB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210003</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7EE2922C"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PRINCE GEORGE</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550E93F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$282,929,188</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2B4EB5C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12.83%</w:t>
            </w:r>
          </w:p>
        </w:tc>
        <w:tc>
          <w:tcPr>
            <w:tcW w:w="1620" w:type="dxa"/>
            <w:tcBorders>
              <w:top w:val="single" w:sz="4" w:space="0" w:color="auto"/>
              <w:left w:val="single" w:sz="4" w:space="0" w:color="auto"/>
              <w:bottom w:val="single" w:sz="4" w:space="0" w:color="auto"/>
              <w:right w:val="single" w:sz="4" w:space="0" w:color="auto"/>
            </w:tcBorders>
            <w:shd w:val="clear" w:color="000000" w:fill="F8696B"/>
            <w:noWrap/>
            <w:tcMar>
              <w:left w:w="58" w:type="dxa"/>
              <w:right w:w="58" w:type="dxa"/>
            </w:tcMar>
            <w:vAlign w:val="center"/>
            <w:hideMark/>
          </w:tcPr>
          <w:p w14:paraId="059F9D36"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-1.37%</w:t>
            </w:r>
          </w:p>
        </w:tc>
        <w:tc>
          <w:tcPr>
            <w:tcW w:w="1890" w:type="dxa"/>
            <w:tcBorders>
              <w:top w:val="single" w:sz="4" w:space="0" w:color="auto"/>
              <w:left w:val="single" w:sz="4" w:space="0" w:color="auto"/>
              <w:bottom w:val="single" w:sz="4" w:space="0" w:color="auto"/>
              <w:right w:val="single" w:sz="4" w:space="0" w:color="auto"/>
            </w:tcBorders>
            <w:shd w:val="clear" w:color="000000" w:fill="FBBEBF"/>
            <w:noWrap/>
            <w:tcMar>
              <w:left w:w="58" w:type="dxa"/>
              <w:right w:w="58" w:type="dxa"/>
            </w:tcMar>
            <w:vAlign w:val="center"/>
            <w:hideMark/>
          </w:tcPr>
          <w:p w14:paraId="575EC9E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-$3,876,130</w:t>
            </w:r>
          </w:p>
        </w:tc>
      </w:tr>
      <w:tr w:rsidR="001E2681" w:rsidRPr="001E2681" w14:paraId="16A05304"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25E8A97"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210004</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4FF7847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HOLY CROSS</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5A2B41B"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$355,608,692</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2DE463F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17.92%</w:t>
            </w:r>
          </w:p>
        </w:tc>
        <w:tc>
          <w:tcPr>
            <w:tcW w:w="1620" w:type="dxa"/>
            <w:tcBorders>
              <w:top w:val="single" w:sz="4" w:space="0" w:color="auto"/>
              <w:left w:val="single" w:sz="4" w:space="0" w:color="auto"/>
              <w:bottom w:val="single" w:sz="4" w:space="0" w:color="auto"/>
              <w:right w:val="single" w:sz="4" w:space="0" w:color="auto"/>
            </w:tcBorders>
            <w:shd w:val="clear" w:color="000000" w:fill="F98384"/>
            <w:noWrap/>
            <w:tcMar>
              <w:left w:w="58" w:type="dxa"/>
              <w:right w:w="58" w:type="dxa"/>
            </w:tcMar>
            <w:vAlign w:val="center"/>
            <w:hideMark/>
          </w:tcPr>
          <w:p w14:paraId="2DDB2996"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-1.13%</w:t>
            </w:r>
          </w:p>
        </w:tc>
        <w:tc>
          <w:tcPr>
            <w:tcW w:w="1890" w:type="dxa"/>
            <w:tcBorders>
              <w:top w:val="single" w:sz="4" w:space="0" w:color="auto"/>
              <w:left w:val="single" w:sz="4" w:space="0" w:color="auto"/>
              <w:bottom w:val="single" w:sz="4" w:space="0" w:color="auto"/>
              <w:right w:val="single" w:sz="4" w:space="0" w:color="auto"/>
            </w:tcBorders>
            <w:shd w:val="clear" w:color="000000" w:fill="FBBCBD"/>
            <w:noWrap/>
            <w:tcMar>
              <w:left w:w="58" w:type="dxa"/>
              <w:right w:w="58" w:type="dxa"/>
            </w:tcMar>
            <w:vAlign w:val="center"/>
            <w:hideMark/>
          </w:tcPr>
          <w:p w14:paraId="4BD71DD5"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-$4,018,378</w:t>
            </w:r>
          </w:p>
        </w:tc>
      </w:tr>
      <w:tr w:rsidR="001E2681" w:rsidRPr="001E2681" w14:paraId="736B84F7"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F9D83B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210005</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78D3C7D8"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FREDERICK MEMORIAL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FA68FAB"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$232,665,827</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3E28A08"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32.25%</w:t>
            </w:r>
          </w:p>
        </w:tc>
        <w:tc>
          <w:tcPr>
            <w:tcW w:w="1620" w:type="dxa"/>
            <w:tcBorders>
              <w:top w:val="single" w:sz="4" w:space="0" w:color="auto"/>
              <w:left w:val="single" w:sz="4" w:space="0" w:color="auto"/>
              <w:bottom w:val="single" w:sz="4" w:space="0" w:color="auto"/>
              <w:right w:val="single" w:sz="4" w:space="0" w:color="auto"/>
            </w:tcBorders>
            <w:shd w:val="clear" w:color="000000" w:fill="FCCFD0"/>
            <w:noWrap/>
            <w:tcMar>
              <w:left w:w="58" w:type="dxa"/>
              <w:right w:w="58" w:type="dxa"/>
            </w:tcMar>
            <w:vAlign w:val="center"/>
            <w:hideMark/>
          </w:tcPr>
          <w:p w14:paraId="04D638F1"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-0.43%</w:t>
            </w:r>
          </w:p>
        </w:tc>
        <w:tc>
          <w:tcPr>
            <w:tcW w:w="1890" w:type="dxa"/>
            <w:tcBorders>
              <w:top w:val="single" w:sz="4" w:space="0" w:color="auto"/>
              <w:left w:val="single" w:sz="4" w:space="0" w:color="auto"/>
              <w:bottom w:val="single" w:sz="4" w:space="0" w:color="auto"/>
              <w:right w:val="single" w:sz="4" w:space="0" w:color="auto"/>
            </w:tcBorders>
            <w:shd w:val="clear" w:color="000000" w:fill="FEEEEE"/>
            <w:noWrap/>
            <w:tcMar>
              <w:left w:w="58" w:type="dxa"/>
              <w:right w:w="58" w:type="dxa"/>
            </w:tcMar>
            <w:vAlign w:val="center"/>
            <w:hideMark/>
          </w:tcPr>
          <w:p w14:paraId="29531579"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-$1,000,463</w:t>
            </w:r>
          </w:p>
        </w:tc>
      </w:tr>
      <w:tr w:rsidR="001E2681" w:rsidRPr="001E2681" w14:paraId="624F07F6"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7ED8F8E7"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210006</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64D1BBD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HARFORD</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5D1F0B2E"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$54,181,186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0AFCBDC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49.50%</w:t>
            </w:r>
          </w:p>
        </w:tc>
        <w:tc>
          <w:tcPr>
            <w:tcW w:w="1620" w:type="dxa"/>
            <w:tcBorders>
              <w:top w:val="single" w:sz="4" w:space="0" w:color="auto"/>
              <w:left w:val="single" w:sz="4" w:space="0" w:color="auto"/>
              <w:bottom w:val="single" w:sz="4" w:space="0" w:color="auto"/>
              <w:right w:val="single" w:sz="4" w:space="0" w:color="auto"/>
            </w:tcBorders>
            <w:shd w:val="clear" w:color="000000" w:fill="B6E1C1"/>
            <w:noWrap/>
            <w:tcMar>
              <w:left w:w="58" w:type="dxa"/>
              <w:right w:w="58" w:type="dxa"/>
            </w:tcMar>
            <w:vAlign w:val="center"/>
            <w:hideMark/>
          </w:tcPr>
          <w:p w14:paraId="1D093B82"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0.44%</w:t>
            </w:r>
          </w:p>
        </w:tc>
        <w:tc>
          <w:tcPr>
            <w:tcW w:w="1890" w:type="dxa"/>
            <w:tcBorders>
              <w:top w:val="single" w:sz="4" w:space="0" w:color="auto"/>
              <w:left w:val="single" w:sz="4" w:space="0" w:color="auto"/>
              <w:bottom w:val="single" w:sz="4" w:space="0" w:color="auto"/>
              <w:right w:val="single" w:sz="4" w:space="0" w:color="auto"/>
            </w:tcBorders>
            <w:shd w:val="clear" w:color="000000" w:fill="E6F5EA"/>
            <w:noWrap/>
            <w:tcMar>
              <w:left w:w="58" w:type="dxa"/>
              <w:right w:w="58" w:type="dxa"/>
            </w:tcMar>
            <w:vAlign w:val="center"/>
            <w:hideMark/>
          </w:tcPr>
          <w:p w14:paraId="063CB74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$238,397</w:t>
            </w:r>
          </w:p>
        </w:tc>
      </w:tr>
      <w:tr w:rsidR="001E2681" w:rsidRPr="001E2681" w14:paraId="1291AB6E"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0CF14FEC"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210008</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093C543"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MERCY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0035B7A"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$226,492,002</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BD943BD"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38.17%</w:t>
            </w:r>
          </w:p>
        </w:tc>
        <w:tc>
          <w:tcPr>
            <w:tcW w:w="1620" w:type="dxa"/>
            <w:tcBorders>
              <w:top w:val="single" w:sz="4" w:space="0" w:color="auto"/>
              <w:left w:val="single" w:sz="4" w:space="0" w:color="auto"/>
              <w:bottom w:val="single" w:sz="4" w:space="0" w:color="auto"/>
              <w:right w:val="single" w:sz="4" w:space="0" w:color="auto"/>
            </w:tcBorders>
            <w:shd w:val="clear" w:color="000000" w:fill="FEEFEF"/>
            <w:noWrap/>
            <w:tcMar>
              <w:left w:w="58" w:type="dxa"/>
              <w:right w:w="58" w:type="dxa"/>
            </w:tcMar>
            <w:vAlign w:val="center"/>
            <w:hideMark/>
          </w:tcPr>
          <w:p w14:paraId="5908A37E"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-0.14%</w:t>
            </w:r>
          </w:p>
        </w:tc>
        <w:tc>
          <w:tcPr>
            <w:tcW w:w="1890" w:type="dxa"/>
            <w:tcBorders>
              <w:top w:val="single" w:sz="4" w:space="0" w:color="auto"/>
              <w:left w:val="single" w:sz="4" w:space="0" w:color="auto"/>
              <w:bottom w:val="single" w:sz="4" w:space="0" w:color="auto"/>
              <w:right w:val="single" w:sz="4" w:space="0" w:color="auto"/>
            </w:tcBorders>
            <w:shd w:val="clear" w:color="000000" w:fill="FEF9F9"/>
            <w:noWrap/>
            <w:tcMar>
              <w:left w:w="58" w:type="dxa"/>
              <w:right w:w="58" w:type="dxa"/>
            </w:tcMar>
            <w:vAlign w:val="center"/>
            <w:hideMark/>
          </w:tcPr>
          <w:p w14:paraId="3B75001A"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-$317,089</w:t>
            </w:r>
          </w:p>
        </w:tc>
      </w:tr>
      <w:tr w:rsidR="001E2681" w:rsidRPr="001E2681" w14:paraId="3AA36135" w14:textId="77777777" w:rsidTr="001E2681">
        <w:trPr>
          <w:trHeight w:val="315"/>
        </w:trPr>
        <w:tc>
          <w:tcPr>
            <w:tcW w:w="72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796A6776"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210009</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210052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JOHNS HOPKINS</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BA2FA4B"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$1,456,687,424</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668E78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34.17%</w:t>
            </w:r>
          </w:p>
        </w:tc>
        <w:tc>
          <w:tcPr>
            <w:tcW w:w="1620" w:type="dxa"/>
            <w:tcBorders>
              <w:top w:val="single" w:sz="4" w:space="0" w:color="auto"/>
              <w:left w:val="single" w:sz="4" w:space="0" w:color="auto"/>
              <w:bottom w:val="single" w:sz="4" w:space="0" w:color="auto"/>
              <w:right w:val="single" w:sz="4" w:space="0" w:color="auto"/>
            </w:tcBorders>
            <w:shd w:val="clear" w:color="000000" w:fill="FDDADB"/>
            <w:noWrap/>
            <w:tcMar>
              <w:left w:w="58" w:type="dxa"/>
              <w:right w:w="58" w:type="dxa"/>
            </w:tcMar>
            <w:vAlign w:val="center"/>
            <w:hideMark/>
          </w:tcPr>
          <w:p w14:paraId="31867C62"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-0.33%</w:t>
            </w:r>
          </w:p>
        </w:tc>
        <w:tc>
          <w:tcPr>
            <w:tcW w:w="1890" w:type="dxa"/>
            <w:tcBorders>
              <w:top w:val="single" w:sz="4" w:space="0" w:color="auto"/>
              <w:left w:val="single" w:sz="4" w:space="0" w:color="auto"/>
              <w:bottom w:val="single" w:sz="4" w:space="0" w:color="auto"/>
              <w:right w:val="single" w:sz="4" w:space="0" w:color="auto"/>
            </w:tcBorders>
            <w:shd w:val="clear" w:color="000000" w:fill="FBAFB0"/>
            <w:noWrap/>
            <w:tcMar>
              <w:left w:w="58" w:type="dxa"/>
              <w:right w:w="58" w:type="dxa"/>
            </w:tcMar>
            <w:vAlign w:val="center"/>
            <w:hideMark/>
          </w:tcPr>
          <w:p w14:paraId="0F5E95BE"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-$4,807,068</w:t>
            </w:r>
          </w:p>
        </w:tc>
      </w:tr>
      <w:tr w:rsidR="001E2681" w:rsidRPr="001E2681" w14:paraId="6B5D8F8D"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28D4F729"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210010</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D1AAF9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DORCHESTER</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53D0246D"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$22,653,845</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312563E"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38.75%</w:t>
            </w:r>
          </w:p>
        </w:tc>
        <w:tc>
          <w:tcPr>
            <w:tcW w:w="1620" w:type="dxa"/>
            <w:tcBorders>
              <w:top w:val="single" w:sz="4" w:space="0" w:color="auto"/>
              <w:left w:val="single" w:sz="4" w:space="0" w:color="auto"/>
              <w:bottom w:val="single" w:sz="4" w:space="0" w:color="auto"/>
              <w:right w:val="single" w:sz="4" w:space="0" w:color="auto"/>
            </w:tcBorders>
            <w:shd w:val="clear" w:color="000000" w:fill="FEF2F3"/>
            <w:noWrap/>
            <w:tcMar>
              <w:left w:w="58" w:type="dxa"/>
              <w:right w:w="58" w:type="dxa"/>
            </w:tcMar>
            <w:vAlign w:val="center"/>
            <w:hideMark/>
          </w:tcPr>
          <w:p w14:paraId="218370E7"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-0.11%</w:t>
            </w:r>
          </w:p>
        </w:tc>
        <w:tc>
          <w:tcPr>
            <w:tcW w:w="189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58" w:type="dxa"/>
            </w:tcMar>
            <w:vAlign w:val="center"/>
            <w:hideMark/>
          </w:tcPr>
          <w:p w14:paraId="4A8F0271"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-$24,919</w:t>
            </w:r>
          </w:p>
        </w:tc>
      </w:tr>
      <w:tr w:rsidR="001E2681" w:rsidRPr="001E2681" w14:paraId="56608863"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7F5900A4"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210011</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147A8D7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ST. AGNES</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C92BC44"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$238,757,730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44D5DF5"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30.25%</w:t>
            </w:r>
          </w:p>
        </w:tc>
        <w:tc>
          <w:tcPr>
            <w:tcW w:w="1620" w:type="dxa"/>
            <w:tcBorders>
              <w:top w:val="single" w:sz="4" w:space="0" w:color="auto"/>
              <w:left w:val="single" w:sz="4" w:space="0" w:color="auto"/>
              <w:bottom w:val="single" w:sz="4" w:space="0" w:color="auto"/>
              <w:right w:val="single" w:sz="4" w:space="0" w:color="auto"/>
            </w:tcBorders>
            <w:shd w:val="clear" w:color="000000" w:fill="FCC6C6"/>
            <w:noWrap/>
            <w:tcMar>
              <w:left w:w="58" w:type="dxa"/>
              <w:right w:w="58" w:type="dxa"/>
            </w:tcMar>
            <w:vAlign w:val="center"/>
            <w:hideMark/>
          </w:tcPr>
          <w:p w14:paraId="071A775E"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-0.52%</w:t>
            </w:r>
          </w:p>
        </w:tc>
        <w:tc>
          <w:tcPr>
            <w:tcW w:w="1890" w:type="dxa"/>
            <w:tcBorders>
              <w:top w:val="single" w:sz="4" w:space="0" w:color="auto"/>
              <w:left w:val="single" w:sz="4" w:space="0" w:color="auto"/>
              <w:bottom w:val="single" w:sz="4" w:space="0" w:color="auto"/>
              <w:right w:val="single" w:sz="4" w:space="0" w:color="auto"/>
            </w:tcBorders>
            <w:shd w:val="clear" w:color="000000" w:fill="FEEAEA"/>
            <w:noWrap/>
            <w:tcMar>
              <w:left w:w="58" w:type="dxa"/>
              <w:right w:w="58" w:type="dxa"/>
            </w:tcMar>
            <w:vAlign w:val="center"/>
            <w:hideMark/>
          </w:tcPr>
          <w:p w14:paraId="1D62123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-$1,241,540</w:t>
            </w:r>
          </w:p>
        </w:tc>
      </w:tr>
      <w:tr w:rsidR="001E2681" w:rsidRPr="001E2681" w14:paraId="51E531F5"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505D2CB5"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210012</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189076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SINAI</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0EEBB1D"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$399,817,673</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018D0B3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26.17%</w:t>
            </w:r>
          </w:p>
        </w:tc>
        <w:tc>
          <w:tcPr>
            <w:tcW w:w="1620" w:type="dxa"/>
            <w:tcBorders>
              <w:top w:val="single" w:sz="4" w:space="0" w:color="auto"/>
              <w:left w:val="single" w:sz="4" w:space="0" w:color="auto"/>
              <w:bottom w:val="single" w:sz="4" w:space="0" w:color="auto"/>
              <w:right w:val="single" w:sz="4" w:space="0" w:color="auto"/>
            </w:tcBorders>
            <w:shd w:val="clear" w:color="000000" w:fill="FBB0B1"/>
            <w:noWrap/>
            <w:tcMar>
              <w:left w:w="58" w:type="dxa"/>
              <w:right w:w="58" w:type="dxa"/>
            </w:tcMar>
            <w:vAlign w:val="center"/>
            <w:hideMark/>
          </w:tcPr>
          <w:p w14:paraId="1AF357D4"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-0.72%</w:t>
            </w:r>
          </w:p>
        </w:tc>
        <w:tc>
          <w:tcPr>
            <w:tcW w:w="1890" w:type="dxa"/>
            <w:tcBorders>
              <w:top w:val="single" w:sz="4" w:space="0" w:color="auto"/>
              <w:left w:val="single" w:sz="4" w:space="0" w:color="auto"/>
              <w:bottom w:val="single" w:sz="4" w:space="0" w:color="auto"/>
              <w:right w:val="single" w:sz="4" w:space="0" w:color="auto"/>
            </w:tcBorders>
            <w:shd w:val="clear" w:color="000000" w:fill="FCCFCF"/>
            <w:noWrap/>
            <w:tcMar>
              <w:left w:w="58" w:type="dxa"/>
              <w:right w:w="58" w:type="dxa"/>
            </w:tcMar>
            <w:vAlign w:val="center"/>
            <w:hideMark/>
          </w:tcPr>
          <w:p w14:paraId="047D319E"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-$2,878,687</w:t>
            </w:r>
          </w:p>
        </w:tc>
      </w:tr>
      <w:tr w:rsidR="001E2681" w:rsidRPr="001E2681" w14:paraId="79F16269"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60BA64F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210013</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69C17CD3"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BON SECOURS</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EDEA3F6"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$64,363,349</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E44F12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33.67%</w:t>
            </w:r>
          </w:p>
        </w:tc>
        <w:tc>
          <w:tcPr>
            <w:tcW w:w="1620" w:type="dxa"/>
            <w:tcBorders>
              <w:top w:val="single" w:sz="4" w:space="0" w:color="auto"/>
              <w:left w:val="single" w:sz="4" w:space="0" w:color="auto"/>
              <w:bottom w:val="single" w:sz="4" w:space="0" w:color="auto"/>
              <w:right w:val="single" w:sz="4" w:space="0" w:color="auto"/>
            </w:tcBorders>
            <w:shd w:val="clear" w:color="000000" w:fill="FDD7D8"/>
            <w:noWrap/>
            <w:tcMar>
              <w:left w:w="58" w:type="dxa"/>
              <w:right w:w="58" w:type="dxa"/>
            </w:tcMar>
            <w:vAlign w:val="center"/>
            <w:hideMark/>
          </w:tcPr>
          <w:p w14:paraId="35E353E2"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-0.36%</w:t>
            </w:r>
          </w:p>
        </w:tc>
        <w:tc>
          <w:tcPr>
            <w:tcW w:w="1890" w:type="dxa"/>
            <w:tcBorders>
              <w:top w:val="single" w:sz="4" w:space="0" w:color="auto"/>
              <w:left w:val="single" w:sz="4" w:space="0" w:color="auto"/>
              <w:bottom w:val="single" w:sz="4" w:space="0" w:color="auto"/>
              <w:right w:val="single" w:sz="4" w:space="0" w:color="auto"/>
            </w:tcBorders>
            <w:shd w:val="clear" w:color="000000" w:fill="FEFBFB"/>
            <w:noWrap/>
            <w:tcMar>
              <w:left w:w="58" w:type="dxa"/>
              <w:right w:w="58" w:type="dxa"/>
            </w:tcMar>
            <w:vAlign w:val="center"/>
            <w:hideMark/>
          </w:tcPr>
          <w:p w14:paraId="6D15D74C"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-$231,708</w:t>
            </w:r>
          </w:p>
        </w:tc>
      </w:tr>
      <w:tr w:rsidR="001E2681" w:rsidRPr="001E2681" w14:paraId="41130598"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C59544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210015</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4A01E9B3"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FRANKLIN SQUARE</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466F58AF"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$306,898,504</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38AA178D"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50.08%</w:t>
            </w:r>
          </w:p>
        </w:tc>
        <w:tc>
          <w:tcPr>
            <w:tcW w:w="1620" w:type="dxa"/>
            <w:tcBorders>
              <w:top w:val="single" w:sz="4" w:space="0" w:color="auto"/>
              <w:left w:val="single" w:sz="4" w:space="0" w:color="auto"/>
              <w:bottom w:val="single" w:sz="4" w:space="0" w:color="auto"/>
              <w:right w:val="single" w:sz="4" w:space="0" w:color="auto"/>
            </w:tcBorders>
            <w:shd w:val="clear" w:color="000000" w:fill="B1DFBD"/>
            <w:noWrap/>
            <w:tcMar>
              <w:left w:w="58" w:type="dxa"/>
              <w:right w:w="58" w:type="dxa"/>
            </w:tcMar>
            <w:vAlign w:val="center"/>
            <w:hideMark/>
          </w:tcPr>
          <w:p w14:paraId="70565E3A"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0.47%</w:t>
            </w:r>
          </w:p>
        </w:tc>
        <w:tc>
          <w:tcPr>
            <w:tcW w:w="1890" w:type="dxa"/>
            <w:tcBorders>
              <w:top w:val="single" w:sz="4" w:space="0" w:color="auto"/>
              <w:left w:val="single" w:sz="4" w:space="0" w:color="auto"/>
              <w:bottom w:val="single" w:sz="4" w:space="0" w:color="auto"/>
              <w:right w:val="single" w:sz="4" w:space="0" w:color="auto"/>
            </w:tcBorders>
            <w:shd w:val="clear" w:color="000000" w:fill="63BE7B"/>
            <w:noWrap/>
            <w:tcMar>
              <w:left w:w="58" w:type="dxa"/>
              <w:right w:w="58" w:type="dxa"/>
            </w:tcMar>
            <w:vAlign w:val="center"/>
            <w:hideMark/>
          </w:tcPr>
          <w:p w14:paraId="3C69C76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$1,442,423</w:t>
            </w:r>
          </w:p>
        </w:tc>
      </w:tr>
      <w:tr w:rsidR="001E2681" w:rsidRPr="001E2681" w14:paraId="29B5973C"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1CA6FE3"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210016</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1E331EE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WASHINGTON ADVENTIST</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A342ED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$164,197,283</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2EF51804"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40.00%</w:t>
            </w:r>
          </w:p>
        </w:tc>
        <w:tc>
          <w:tcPr>
            <w:tcW w:w="1620" w:type="dxa"/>
            <w:tcBorders>
              <w:top w:val="single" w:sz="4" w:space="0" w:color="auto"/>
              <w:left w:val="single" w:sz="4" w:space="0" w:color="auto"/>
              <w:bottom w:val="single" w:sz="4" w:space="0" w:color="auto"/>
              <w:right w:val="single" w:sz="4" w:space="0" w:color="auto"/>
            </w:tcBorders>
            <w:shd w:val="clear" w:color="000000" w:fill="FEF9F9"/>
            <w:noWrap/>
            <w:tcMar>
              <w:left w:w="58" w:type="dxa"/>
              <w:right w:w="58" w:type="dxa"/>
            </w:tcMar>
            <w:vAlign w:val="center"/>
            <w:hideMark/>
          </w:tcPr>
          <w:p w14:paraId="0BA7103F"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-0.05%</w:t>
            </w:r>
          </w:p>
        </w:tc>
        <w:tc>
          <w:tcPr>
            <w:tcW w:w="1890"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58" w:type="dxa"/>
            </w:tcMar>
            <w:vAlign w:val="center"/>
            <w:hideMark/>
          </w:tcPr>
          <w:p w14:paraId="2326FC9B"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-$82,099</w:t>
            </w:r>
          </w:p>
        </w:tc>
      </w:tr>
      <w:tr w:rsidR="001E2681" w:rsidRPr="001E2681" w14:paraId="16F8A8AD"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67792D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210017</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44A1FB9"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GARRETT COUNTY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4AAFC436"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$23,714,400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4073ACF"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44.89%</w:t>
            </w:r>
          </w:p>
        </w:tc>
        <w:tc>
          <w:tcPr>
            <w:tcW w:w="1620" w:type="dxa"/>
            <w:tcBorders>
              <w:top w:val="single" w:sz="4" w:space="0" w:color="auto"/>
              <w:left w:val="single" w:sz="4" w:space="0" w:color="auto"/>
              <w:bottom w:val="single" w:sz="4" w:space="0" w:color="auto"/>
              <w:right w:val="single" w:sz="4" w:space="0" w:color="auto"/>
            </w:tcBorders>
            <w:shd w:val="clear" w:color="000000" w:fill="DEF2E3"/>
            <w:noWrap/>
            <w:tcMar>
              <w:left w:w="58" w:type="dxa"/>
              <w:right w:w="58" w:type="dxa"/>
            </w:tcMar>
            <w:vAlign w:val="center"/>
            <w:hideMark/>
          </w:tcPr>
          <w:p w14:paraId="34680652"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0.20%</w:t>
            </w:r>
          </w:p>
        </w:tc>
        <w:tc>
          <w:tcPr>
            <w:tcW w:w="1890" w:type="dxa"/>
            <w:tcBorders>
              <w:top w:val="single" w:sz="4" w:space="0" w:color="auto"/>
              <w:left w:val="single" w:sz="4" w:space="0" w:color="auto"/>
              <w:bottom w:val="single" w:sz="4" w:space="0" w:color="auto"/>
              <w:right w:val="single" w:sz="4" w:space="0" w:color="auto"/>
            </w:tcBorders>
            <w:shd w:val="clear" w:color="000000" w:fill="FAFDFB"/>
            <w:noWrap/>
            <w:tcMar>
              <w:left w:w="58" w:type="dxa"/>
              <w:right w:w="58" w:type="dxa"/>
            </w:tcMar>
            <w:vAlign w:val="center"/>
            <w:hideMark/>
          </w:tcPr>
          <w:p w14:paraId="15C73994"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$47,429</w:t>
            </w:r>
          </w:p>
        </w:tc>
      </w:tr>
      <w:tr w:rsidR="001E2681" w:rsidRPr="001E2681" w14:paraId="20C1CD94"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5C6BBA6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210018</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BDA0AA9"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MONTGOMERY GENERAL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6D7ACB1"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$84,721,645</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B08DE1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35.00%</w:t>
            </w:r>
          </w:p>
        </w:tc>
        <w:tc>
          <w:tcPr>
            <w:tcW w:w="1620" w:type="dxa"/>
            <w:tcBorders>
              <w:top w:val="single" w:sz="4" w:space="0" w:color="auto"/>
              <w:left w:val="single" w:sz="4" w:space="0" w:color="auto"/>
              <w:bottom w:val="single" w:sz="4" w:space="0" w:color="auto"/>
              <w:right w:val="single" w:sz="4" w:space="0" w:color="auto"/>
            </w:tcBorders>
            <w:shd w:val="clear" w:color="000000" w:fill="FDDFDF"/>
            <w:noWrap/>
            <w:tcMar>
              <w:left w:w="58" w:type="dxa"/>
              <w:right w:w="58" w:type="dxa"/>
            </w:tcMar>
            <w:vAlign w:val="center"/>
            <w:hideMark/>
          </w:tcPr>
          <w:p w14:paraId="1E3CDF64"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-0.29%</w:t>
            </w:r>
          </w:p>
        </w:tc>
        <w:tc>
          <w:tcPr>
            <w:tcW w:w="1890" w:type="dxa"/>
            <w:tcBorders>
              <w:top w:val="single" w:sz="4" w:space="0" w:color="auto"/>
              <w:left w:val="single" w:sz="4" w:space="0" w:color="auto"/>
              <w:bottom w:val="single" w:sz="4" w:space="0" w:color="auto"/>
              <w:right w:val="single" w:sz="4" w:space="0" w:color="auto"/>
            </w:tcBorders>
            <w:shd w:val="clear" w:color="000000" w:fill="FEFAFA"/>
            <w:noWrap/>
            <w:tcMar>
              <w:left w:w="58" w:type="dxa"/>
              <w:right w:w="58" w:type="dxa"/>
            </w:tcMar>
            <w:vAlign w:val="center"/>
            <w:hideMark/>
          </w:tcPr>
          <w:p w14:paraId="2052BA4D"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-$245,693</w:t>
            </w:r>
          </w:p>
        </w:tc>
      </w:tr>
      <w:tr w:rsidR="001E2681" w:rsidRPr="001E2681" w14:paraId="055F9F8C"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45F863A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210019</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6514FDE6"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PENINSULA REGIONAL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15D4BC6"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$249,228,264</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2330E85D"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36.33%</w:t>
            </w:r>
          </w:p>
        </w:tc>
        <w:tc>
          <w:tcPr>
            <w:tcW w:w="1620" w:type="dxa"/>
            <w:tcBorders>
              <w:top w:val="single" w:sz="4" w:space="0" w:color="auto"/>
              <w:left w:val="single" w:sz="4" w:space="0" w:color="auto"/>
              <w:bottom w:val="single" w:sz="4" w:space="0" w:color="auto"/>
              <w:right w:val="single" w:sz="4" w:space="0" w:color="auto"/>
            </w:tcBorders>
            <w:shd w:val="clear" w:color="000000" w:fill="FDE5E6"/>
            <w:noWrap/>
            <w:tcMar>
              <w:left w:w="58" w:type="dxa"/>
              <w:right w:w="58" w:type="dxa"/>
            </w:tcMar>
            <w:vAlign w:val="center"/>
            <w:hideMark/>
          </w:tcPr>
          <w:p w14:paraId="264EEDF6"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-0.23%</w:t>
            </w:r>
          </w:p>
        </w:tc>
        <w:tc>
          <w:tcPr>
            <w:tcW w:w="1890" w:type="dxa"/>
            <w:tcBorders>
              <w:top w:val="single" w:sz="4" w:space="0" w:color="auto"/>
              <w:left w:val="single" w:sz="4" w:space="0" w:color="auto"/>
              <w:bottom w:val="single" w:sz="4" w:space="0" w:color="auto"/>
              <w:right w:val="single" w:sz="4" w:space="0" w:color="auto"/>
            </w:tcBorders>
            <w:shd w:val="clear" w:color="000000" w:fill="FEF5F5"/>
            <w:noWrap/>
            <w:tcMar>
              <w:left w:w="58" w:type="dxa"/>
              <w:right w:w="58" w:type="dxa"/>
            </w:tcMar>
            <w:vAlign w:val="center"/>
            <w:hideMark/>
          </w:tcPr>
          <w:p w14:paraId="3D0BB65B"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-$573,225</w:t>
            </w:r>
          </w:p>
        </w:tc>
      </w:tr>
      <w:tr w:rsidR="001E2681" w:rsidRPr="001E2681" w14:paraId="4260BD81"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40787335"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210022</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67E89EA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SUBURBAN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21C5EA9"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$208,954,270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5687759"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23.80%</w:t>
            </w:r>
          </w:p>
        </w:tc>
        <w:tc>
          <w:tcPr>
            <w:tcW w:w="1620" w:type="dxa"/>
            <w:tcBorders>
              <w:top w:val="single" w:sz="4" w:space="0" w:color="auto"/>
              <w:left w:val="single" w:sz="4" w:space="0" w:color="auto"/>
              <w:bottom w:val="single" w:sz="4" w:space="0" w:color="auto"/>
              <w:right w:val="single" w:sz="4" w:space="0" w:color="auto"/>
            </w:tcBorders>
            <w:shd w:val="clear" w:color="000000" w:fill="FAA3A4"/>
            <w:noWrap/>
            <w:tcMar>
              <w:left w:w="58" w:type="dxa"/>
              <w:right w:w="58" w:type="dxa"/>
            </w:tcMar>
            <w:vAlign w:val="center"/>
            <w:hideMark/>
          </w:tcPr>
          <w:p w14:paraId="43B77822"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-0.84%</w:t>
            </w:r>
          </w:p>
        </w:tc>
        <w:tc>
          <w:tcPr>
            <w:tcW w:w="1890" w:type="dxa"/>
            <w:tcBorders>
              <w:top w:val="single" w:sz="4" w:space="0" w:color="auto"/>
              <w:left w:val="single" w:sz="4" w:space="0" w:color="auto"/>
              <w:bottom w:val="single" w:sz="4" w:space="0" w:color="auto"/>
              <w:right w:val="single" w:sz="4" w:space="0" w:color="auto"/>
            </w:tcBorders>
            <w:shd w:val="clear" w:color="000000" w:fill="FDE1E2"/>
            <w:noWrap/>
            <w:tcMar>
              <w:left w:w="58" w:type="dxa"/>
              <w:right w:w="58" w:type="dxa"/>
            </w:tcMar>
            <w:vAlign w:val="center"/>
            <w:hideMark/>
          </w:tcPr>
          <w:p w14:paraId="70889248"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-$1,755,216</w:t>
            </w:r>
          </w:p>
        </w:tc>
      </w:tr>
      <w:tr w:rsidR="001E2681" w:rsidRPr="001E2681" w14:paraId="1FE677DE"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452E6B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210023</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4B68CC3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ANNE ARUNDEL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0E6E8757"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$294,544,506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414ABAAB"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41.58%</w:t>
            </w:r>
          </w:p>
        </w:tc>
        <w:tc>
          <w:tcPr>
            <w:tcW w:w="1620" w:type="dxa"/>
            <w:tcBorders>
              <w:top w:val="single" w:sz="4" w:space="0" w:color="auto"/>
              <w:left w:val="single" w:sz="4" w:space="0" w:color="auto"/>
              <w:bottom w:val="single" w:sz="4" w:space="0" w:color="auto"/>
              <w:right w:val="single" w:sz="4" w:space="0" w:color="auto"/>
            </w:tcBorders>
            <w:shd w:val="clear" w:color="000000" w:fill="FAFDFB"/>
            <w:noWrap/>
            <w:tcMar>
              <w:left w:w="58" w:type="dxa"/>
              <w:right w:w="58" w:type="dxa"/>
            </w:tcMar>
            <w:vAlign w:val="center"/>
            <w:hideMark/>
          </w:tcPr>
          <w:p w14:paraId="6AE81673"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0.03%</w:t>
            </w:r>
          </w:p>
        </w:tc>
        <w:tc>
          <w:tcPr>
            <w:tcW w:w="1890" w:type="dxa"/>
            <w:tcBorders>
              <w:top w:val="single" w:sz="4" w:space="0" w:color="auto"/>
              <w:left w:val="single" w:sz="4" w:space="0" w:color="auto"/>
              <w:bottom w:val="single" w:sz="4" w:space="0" w:color="auto"/>
              <w:right w:val="single" w:sz="4" w:space="0" w:color="auto"/>
            </w:tcBorders>
            <w:shd w:val="clear" w:color="000000" w:fill="F6FCF7"/>
            <w:noWrap/>
            <w:tcMar>
              <w:left w:w="58" w:type="dxa"/>
              <w:right w:w="58" w:type="dxa"/>
            </w:tcMar>
            <w:vAlign w:val="center"/>
            <w:hideMark/>
          </w:tcPr>
          <w:p w14:paraId="64B21BEE"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$88,363</w:t>
            </w:r>
          </w:p>
        </w:tc>
      </w:tr>
      <w:tr w:rsidR="001E2681" w:rsidRPr="001E2681" w14:paraId="0B31D217"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67914388"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210024</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4AD8A7F9"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UNION MEMORIAL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4B0E70D"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$243,156,679</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419CD7A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22.13%</w:t>
            </w:r>
          </w:p>
        </w:tc>
        <w:tc>
          <w:tcPr>
            <w:tcW w:w="1620" w:type="dxa"/>
            <w:tcBorders>
              <w:top w:val="single" w:sz="4" w:space="0" w:color="auto"/>
              <w:left w:val="single" w:sz="4" w:space="0" w:color="auto"/>
              <w:bottom w:val="single" w:sz="4" w:space="0" w:color="auto"/>
              <w:right w:val="single" w:sz="4" w:space="0" w:color="auto"/>
            </w:tcBorders>
            <w:shd w:val="clear" w:color="000000" w:fill="FA9A9B"/>
            <w:noWrap/>
            <w:tcMar>
              <w:left w:w="58" w:type="dxa"/>
              <w:right w:w="58" w:type="dxa"/>
            </w:tcMar>
            <w:vAlign w:val="center"/>
            <w:hideMark/>
          </w:tcPr>
          <w:p w14:paraId="390929B5"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-0.92%</w:t>
            </w:r>
          </w:p>
        </w:tc>
        <w:tc>
          <w:tcPr>
            <w:tcW w:w="1890" w:type="dxa"/>
            <w:tcBorders>
              <w:top w:val="single" w:sz="4" w:space="0" w:color="auto"/>
              <w:left w:val="single" w:sz="4" w:space="0" w:color="auto"/>
              <w:bottom w:val="single" w:sz="4" w:space="0" w:color="auto"/>
              <w:right w:val="single" w:sz="4" w:space="0" w:color="auto"/>
            </w:tcBorders>
            <w:shd w:val="clear" w:color="000000" w:fill="FDD9DA"/>
            <w:noWrap/>
            <w:tcMar>
              <w:left w:w="58" w:type="dxa"/>
              <w:right w:w="58" w:type="dxa"/>
            </w:tcMar>
            <w:vAlign w:val="center"/>
            <w:hideMark/>
          </w:tcPr>
          <w:p w14:paraId="2F91E60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-$2,237,041</w:t>
            </w:r>
          </w:p>
        </w:tc>
      </w:tr>
      <w:tr w:rsidR="001E2681" w:rsidRPr="001E2681" w14:paraId="235CE001"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1557D65"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210027</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17B858A5"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WESTERN MARYLAND</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62D7A5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$169,462,000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9BA8775"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27.92%</w:t>
            </w:r>
          </w:p>
        </w:tc>
        <w:tc>
          <w:tcPr>
            <w:tcW w:w="1620" w:type="dxa"/>
            <w:tcBorders>
              <w:top w:val="single" w:sz="4" w:space="0" w:color="auto"/>
              <w:left w:val="single" w:sz="4" w:space="0" w:color="auto"/>
              <w:bottom w:val="single" w:sz="4" w:space="0" w:color="auto"/>
              <w:right w:val="single" w:sz="4" w:space="0" w:color="auto"/>
            </w:tcBorders>
            <w:shd w:val="clear" w:color="000000" w:fill="FBB8B9"/>
            <w:noWrap/>
            <w:tcMar>
              <w:left w:w="58" w:type="dxa"/>
              <w:right w:w="58" w:type="dxa"/>
            </w:tcMar>
            <w:vAlign w:val="center"/>
            <w:hideMark/>
          </w:tcPr>
          <w:p w14:paraId="33EB9462"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-0.64%</w:t>
            </w:r>
          </w:p>
        </w:tc>
        <w:tc>
          <w:tcPr>
            <w:tcW w:w="1890" w:type="dxa"/>
            <w:tcBorders>
              <w:top w:val="single" w:sz="4" w:space="0" w:color="auto"/>
              <w:left w:val="single" w:sz="4" w:space="0" w:color="auto"/>
              <w:bottom w:val="single" w:sz="4" w:space="0" w:color="auto"/>
              <w:right w:val="single" w:sz="4" w:space="0" w:color="auto"/>
            </w:tcBorders>
            <w:shd w:val="clear" w:color="000000" w:fill="FEECED"/>
            <w:noWrap/>
            <w:tcMar>
              <w:left w:w="58" w:type="dxa"/>
              <w:right w:w="58" w:type="dxa"/>
            </w:tcMar>
            <w:vAlign w:val="center"/>
            <w:hideMark/>
          </w:tcPr>
          <w:p w14:paraId="6FA8374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-$1,084,557</w:t>
            </w:r>
          </w:p>
        </w:tc>
      </w:tr>
      <w:tr w:rsidR="001E2681" w:rsidRPr="001E2681" w14:paraId="0E467C84"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D0A581C"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210028</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50E30A87"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ST. MARY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117CD8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$79,141,046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933E6B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32.83%</w:t>
            </w:r>
          </w:p>
        </w:tc>
        <w:tc>
          <w:tcPr>
            <w:tcW w:w="1620" w:type="dxa"/>
            <w:tcBorders>
              <w:top w:val="single" w:sz="4" w:space="0" w:color="auto"/>
              <w:left w:val="single" w:sz="4" w:space="0" w:color="auto"/>
              <w:bottom w:val="single" w:sz="4" w:space="0" w:color="auto"/>
              <w:right w:val="single" w:sz="4" w:space="0" w:color="auto"/>
            </w:tcBorders>
            <w:shd w:val="clear" w:color="000000" w:fill="FCD3D3"/>
            <w:noWrap/>
            <w:tcMar>
              <w:left w:w="58" w:type="dxa"/>
              <w:right w:w="58" w:type="dxa"/>
            </w:tcMar>
            <w:vAlign w:val="center"/>
            <w:hideMark/>
          </w:tcPr>
          <w:p w14:paraId="5726E94C"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-0.40%</w:t>
            </w:r>
          </w:p>
        </w:tc>
        <w:tc>
          <w:tcPr>
            <w:tcW w:w="1890" w:type="dxa"/>
            <w:tcBorders>
              <w:top w:val="single" w:sz="4" w:space="0" w:color="auto"/>
              <w:left w:val="single" w:sz="4" w:space="0" w:color="auto"/>
              <w:bottom w:val="single" w:sz="4" w:space="0" w:color="auto"/>
              <w:right w:val="single" w:sz="4" w:space="0" w:color="auto"/>
            </w:tcBorders>
            <w:shd w:val="clear" w:color="000000" w:fill="FEF9F9"/>
            <w:noWrap/>
            <w:tcMar>
              <w:left w:w="58" w:type="dxa"/>
              <w:right w:w="58" w:type="dxa"/>
            </w:tcMar>
            <w:vAlign w:val="center"/>
            <w:hideMark/>
          </w:tcPr>
          <w:p w14:paraId="0AD0FB54"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-$316,564</w:t>
            </w:r>
          </w:p>
        </w:tc>
      </w:tr>
      <w:tr w:rsidR="001E2681" w:rsidRPr="001E2681" w14:paraId="39EF3BA1"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412393DE"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210029</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CEC832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HOPKINS BAYVIEW MED CTR</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870C217"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$366,607,627</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48D2D268"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28.92%</w:t>
            </w:r>
          </w:p>
        </w:tc>
        <w:tc>
          <w:tcPr>
            <w:tcW w:w="1620" w:type="dxa"/>
            <w:tcBorders>
              <w:top w:val="single" w:sz="4" w:space="0" w:color="auto"/>
              <w:left w:val="single" w:sz="4" w:space="0" w:color="auto"/>
              <w:bottom w:val="single" w:sz="4" w:space="0" w:color="auto"/>
              <w:right w:val="single" w:sz="4" w:space="0" w:color="auto"/>
            </w:tcBorders>
            <w:shd w:val="clear" w:color="000000" w:fill="FBBEBF"/>
            <w:noWrap/>
            <w:tcMar>
              <w:left w:w="58" w:type="dxa"/>
              <w:right w:w="58" w:type="dxa"/>
            </w:tcMar>
            <w:vAlign w:val="center"/>
            <w:hideMark/>
          </w:tcPr>
          <w:p w14:paraId="5ADEC8C1"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-0.59%</w:t>
            </w:r>
          </w:p>
        </w:tc>
        <w:tc>
          <w:tcPr>
            <w:tcW w:w="1890" w:type="dxa"/>
            <w:tcBorders>
              <w:top w:val="single" w:sz="4" w:space="0" w:color="auto"/>
              <w:left w:val="single" w:sz="4" w:space="0" w:color="auto"/>
              <w:bottom w:val="single" w:sz="4" w:space="0" w:color="auto"/>
              <w:right w:val="single" w:sz="4" w:space="0" w:color="auto"/>
            </w:tcBorders>
            <w:shd w:val="clear" w:color="000000" w:fill="FDDBDB"/>
            <w:noWrap/>
            <w:tcMar>
              <w:left w:w="58" w:type="dxa"/>
              <w:right w:w="58" w:type="dxa"/>
            </w:tcMar>
            <w:vAlign w:val="center"/>
            <w:hideMark/>
          </w:tcPr>
          <w:p w14:paraId="2FC8805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-$2,162,985</w:t>
            </w:r>
          </w:p>
        </w:tc>
      </w:tr>
      <w:tr w:rsidR="001E2681" w:rsidRPr="001E2681" w14:paraId="2E99B759"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29CF5CA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210030</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1322C30C"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CHESTERTOWN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7A15C4E"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$17,859,942</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445EF7F9"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59.19%</w:t>
            </w:r>
          </w:p>
        </w:tc>
        <w:tc>
          <w:tcPr>
            <w:tcW w:w="1620" w:type="dxa"/>
            <w:tcBorders>
              <w:top w:val="single" w:sz="4" w:space="0" w:color="auto"/>
              <w:left w:val="single" w:sz="4" w:space="0" w:color="auto"/>
              <w:bottom w:val="single" w:sz="4" w:space="0" w:color="auto"/>
              <w:right w:val="single" w:sz="4" w:space="0" w:color="auto"/>
            </w:tcBorders>
            <w:shd w:val="clear" w:color="000000" w:fill="63BE7B"/>
            <w:noWrap/>
            <w:tcMar>
              <w:left w:w="58" w:type="dxa"/>
              <w:right w:w="58" w:type="dxa"/>
            </w:tcMar>
            <w:vAlign w:val="center"/>
            <w:hideMark/>
          </w:tcPr>
          <w:p w14:paraId="0A5BEAEB"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0.93%</w:t>
            </w:r>
          </w:p>
        </w:tc>
        <w:tc>
          <w:tcPr>
            <w:tcW w:w="1890" w:type="dxa"/>
            <w:tcBorders>
              <w:top w:val="single" w:sz="4" w:space="0" w:color="auto"/>
              <w:left w:val="single" w:sz="4" w:space="0" w:color="auto"/>
              <w:bottom w:val="single" w:sz="4" w:space="0" w:color="auto"/>
              <w:right w:val="single" w:sz="4" w:space="0" w:color="auto"/>
            </w:tcBorders>
            <w:shd w:val="clear" w:color="000000" w:fill="EEF8F0"/>
            <w:noWrap/>
            <w:tcMar>
              <w:left w:w="58" w:type="dxa"/>
              <w:right w:w="58" w:type="dxa"/>
            </w:tcMar>
            <w:vAlign w:val="center"/>
            <w:hideMark/>
          </w:tcPr>
          <w:p w14:paraId="034FFC9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$166,097</w:t>
            </w:r>
          </w:p>
        </w:tc>
      </w:tr>
      <w:tr w:rsidR="001E2681" w:rsidRPr="001E2681" w14:paraId="606D8EB7"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5A1B954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210032</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6F3B456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UNION HOSPITAL OF CECIL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4FE31EA5"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$65,426,887</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71B74AF"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33.63%</w:t>
            </w:r>
          </w:p>
        </w:tc>
        <w:tc>
          <w:tcPr>
            <w:tcW w:w="1620" w:type="dxa"/>
            <w:tcBorders>
              <w:top w:val="single" w:sz="4" w:space="0" w:color="auto"/>
              <w:left w:val="single" w:sz="4" w:space="0" w:color="auto"/>
              <w:bottom w:val="single" w:sz="4" w:space="0" w:color="auto"/>
              <w:right w:val="single" w:sz="4" w:space="0" w:color="auto"/>
            </w:tcBorders>
            <w:shd w:val="clear" w:color="000000" w:fill="FDD7D8"/>
            <w:noWrap/>
            <w:tcMar>
              <w:left w:w="58" w:type="dxa"/>
              <w:right w:w="58" w:type="dxa"/>
            </w:tcMar>
            <w:vAlign w:val="center"/>
            <w:hideMark/>
          </w:tcPr>
          <w:p w14:paraId="5358481F"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-0.36%</w:t>
            </w:r>
          </w:p>
        </w:tc>
        <w:tc>
          <w:tcPr>
            <w:tcW w:w="1890" w:type="dxa"/>
            <w:tcBorders>
              <w:top w:val="single" w:sz="4" w:space="0" w:color="auto"/>
              <w:left w:val="single" w:sz="4" w:space="0" w:color="auto"/>
              <w:bottom w:val="single" w:sz="4" w:space="0" w:color="auto"/>
              <w:right w:val="single" w:sz="4" w:space="0" w:color="auto"/>
            </w:tcBorders>
            <w:shd w:val="clear" w:color="000000" w:fill="FEFBFB"/>
            <w:noWrap/>
            <w:tcMar>
              <w:left w:w="58" w:type="dxa"/>
              <w:right w:w="58" w:type="dxa"/>
            </w:tcMar>
            <w:vAlign w:val="center"/>
            <w:hideMark/>
          </w:tcPr>
          <w:p w14:paraId="7CD3B25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-$235,537</w:t>
            </w:r>
          </w:p>
        </w:tc>
      </w:tr>
      <w:tr w:rsidR="001E2681" w:rsidRPr="001E2681" w14:paraId="3557B7B9"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6608FDE3"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210033</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200CD87"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CARROLL COUNTY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3D96245"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$140,291,849</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59BF40A"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41.58%</w:t>
            </w:r>
          </w:p>
        </w:tc>
        <w:tc>
          <w:tcPr>
            <w:tcW w:w="1620" w:type="dxa"/>
            <w:tcBorders>
              <w:top w:val="single" w:sz="4" w:space="0" w:color="auto"/>
              <w:left w:val="single" w:sz="4" w:space="0" w:color="auto"/>
              <w:bottom w:val="single" w:sz="4" w:space="0" w:color="auto"/>
              <w:right w:val="single" w:sz="4" w:space="0" w:color="auto"/>
            </w:tcBorders>
            <w:shd w:val="clear" w:color="000000" w:fill="FAFDFB"/>
            <w:noWrap/>
            <w:tcMar>
              <w:left w:w="58" w:type="dxa"/>
              <w:right w:w="58" w:type="dxa"/>
            </w:tcMar>
            <w:vAlign w:val="center"/>
            <w:hideMark/>
          </w:tcPr>
          <w:p w14:paraId="7AEE2807"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0.03%</w:t>
            </w:r>
          </w:p>
        </w:tc>
        <w:tc>
          <w:tcPr>
            <w:tcW w:w="1890" w:type="dxa"/>
            <w:tcBorders>
              <w:top w:val="single" w:sz="4" w:space="0" w:color="auto"/>
              <w:left w:val="single" w:sz="4" w:space="0" w:color="auto"/>
              <w:bottom w:val="single" w:sz="4" w:space="0" w:color="auto"/>
              <w:right w:val="single" w:sz="4" w:space="0" w:color="auto"/>
            </w:tcBorders>
            <w:shd w:val="clear" w:color="000000" w:fill="FBFEFC"/>
            <w:noWrap/>
            <w:tcMar>
              <w:left w:w="58" w:type="dxa"/>
              <w:right w:w="58" w:type="dxa"/>
            </w:tcMar>
            <w:vAlign w:val="center"/>
            <w:hideMark/>
          </w:tcPr>
          <w:p w14:paraId="1D82934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$42,088</w:t>
            </w:r>
          </w:p>
        </w:tc>
      </w:tr>
      <w:tr w:rsidR="001E2681" w:rsidRPr="001E2681" w14:paraId="202248AD"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012FF3E6"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210034</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7AC812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HARBOR</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FE41475"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$110,392,040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0BF1969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26.67%</w:t>
            </w:r>
          </w:p>
        </w:tc>
        <w:tc>
          <w:tcPr>
            <w:tcW w:w="1620" w:type="dxa"/>
            <w:tcBorders>
              <w:top w:val="single" w:sz="4" w:space="0" w:color="auto"/>
              <w:left w:val="single" w:sz="4" w:space="0" w:color="auto"/>
              <w:bottom w:val="single" w:sz="4" w:space="0" w:color="auto"/>
              <w:right w:val="single" w:sz="4" w:space="0" w:color="auto"/>
            </w:tcBorders>
            <w:shd w:val="clear" w:color="000000" w:fill="FBB2B3"/>
            <w:noWrap/>
            <w:tcMar>
              <w:left w:w="58" w:type="dxa"/>
              <w:right w:w="58" w:type="dxa"/>
            </w:tcMar>
            <w:vAlign w:val="center"/>
            <w:hideMark/>
          </w:tcPr>
          <w:p w14:paraId="4E2A3ADD"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-0.70%</w:t>
            </w:r>
          </w:p>
        </w:tc>
        <w:tc>
          <w:tcPr>
            <w:tcW w:w="1890" w:type="dxa"/>
            <w:tcBorders>
              <w:top w:val="single" w:sz="4" w:space="0" w:color="auto"/>
              <w:left w:val="single" w:sz="4" w:space="0" w:color="auto"/>
              <w:bottom w:val="single" w:sz="4" w:space="0" w:color="auto"/>
              <w:right w:val="single" w:sz="4" w:space="0" w:color="auto"/>
            </w:tcBorders>
            <w:shd w:val="clear" w:color="000000" w:fill="FEF2F2"/>
            <w:noWrap/>
            <w:tcMar>
              <w:left w:w="58" w:type="dxa"/>
              <w:right w:w="58" w:type="dxa"/>
            </w:tcMar>
            <w:vAlign w:val="center"/>
            <w:hideMark/>
          </w:tcPr>
          <w:p w14:paraId="45210DFC"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-$772,744</w:t>
            </w:r>
          </w:p>
        </w:tc>
      </w:tr>
      <w:tr w:rsidR="001E2681" w:rsidRPr="001E2681" w14:paraId="7D0183E0" w14:textId="77777777" w:rsidTr="001E2681">
        <w:trPr>
          <w:trHeight w:val="37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5E4ADD4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210035</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7918C59C"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CHARLES REGIONAL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4661EE6D"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$76,930,098</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3604B61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43.92%</w:t>
            </w:r>
          </w:p>
        </w:tc>
        <w:tc>
          <w:tcPr>
            <w:tcW w:w="1620" w:type="dxa"/>
            <w:tcBorders>
              <w:top w:val="single" w:sz="4" w:space="0" w:color="auto"/>
              <w:left w:val="single" w:sz="4" w:space="0" w:color="auto"/>
              <w:bottom w:val="single" w:sz="4" w:space="0" w:color="auto"/>
              <w:right w:val="single" w:sz="4" w:space="0" w:color="auto"/>
            </w:tcBorders>
            <w:shd w:val="clear" w:color="000000" w:fill="E6F5EA"/>
            <w:noWrap/>
            <w:tcMar>
              <w:left w:w="58" w:type="dxa"/>
              <w:right w:w="58" w:type="dxa"/>
            </w:tcMar>
            <w:vAlign w:val="center"/>
            <w:hideMark/>
          </w:tcPr>
          <w:p w14:paraId="6DC9AEA6"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0.15%</w:t>
            </w:r>
          </w:p>
        </w:tc>
        <w:tc>
          <w:tcPr>
            <w:tcW w:w="1890" w:type="dxa"/>
            <w:tcBorders>
              <w:top w:val="single" w:sz="4" w:space="0" w:color="auto"/>
              <w:left w:val="single" w:sz="4" w:space="0" w:color="auto"/>
              <w:bottom w:val="single" w:sz="4" w:space="0" w:color="auto"/>
              <w:right w:val="single" w:sz="4" w:space="0" w:color="auto"/>
            </w:tcBorders>
            <w:shd w:val="clear" w:color="000000" w:fill="F3FAF5"/>
            <w:noWrap/>
            <w:tcMar>
              <w:left w:w="58" w:type="dxa"/>
              <w:right w:w="58" w:type="dxa"/>
            </w:tcMar>
            <w:vAlign w:val="center"/>
            <w:hideMark/>
          </w:tcPr>
          <w:p w14:paraId="6D3DF589"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$115,395</w:t>
            </w:r>
          </w:p>
        </w:tc>
      </w:tr>
      <w:tr w:rsidR="001E2681" w:rsidRPr="001E2681" w14:paraId="4526551F"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E2D130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210037</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623EACC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EASTON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9766C70"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$103,481,053</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F2AD5FB"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37.75%</w:t>
            </w:r>
          </w:p>
        </w:tc>
        <w:tc>
          <w:tcPr>
            <w:tcW w:w="1620" w:type="dxa"/>
            <w:tcBorders>
              <w:top w:val="single" w:sz="4" w:space="0" w:color="auto"/>
              <w:left w:val="single" w:sz="4" w:space="0" w:color="auto"/>
              <w:bottom w:val="single" w:sz="4" w:space="0" w:color="auto"/>
              <w:right w:val="single" w:sz="4" w:space="0" w:color="auto"/>
            </w:tcBorders>
            <w:shd w:val="clear" w:color="000000" w:fill="FEEDED"/>
            <w:noWrap/>
            <w:tcMar>
              <w:left w:w="58" w:type="dxa"/>
              <w:right w:w="58" w:type="dxa"/>
            </w:tcMar>
            <w:vAlign w:val="center"/>
            <w:hideMark/>
          </w:tcPr>
          <w:p w14:paraId="59600175"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-0.16%</w:t>
            </w:r>
          </w:p>
        </w:tc>
        <w:tc>
          <w:tcPr>
            <w:tcW w:w="1890" w:type="dxa"/>
            <w:tcBorders>
              <w:top w:val="single" w:sz="4" w:space="0" w:color="auto"/>
              <w:left w:val="single" w:sz="4" w:space="0" w:color="auto"/>
              <w:bottom w:val="single" w:sz="4" w:space="0" w:color="auto"/>
              <w:right w:val="single" w:sz="4" w:space="0" w:color="auto"/>
            </w:tcBorders>
            <w:shd w:val="clear" w:color="000000" w:fill="FEFCFC"/>
            <w:noWrap/>
            <w:tcMar>
              <w:left w:w="58" w:type="dxa"/>
              <w:right w:w="58" w:type="dxa"/>
            </w:tcMar>
            <w:vAlign w:val="center"/>
            <w:hideMark/>
          </w:tcPr>
          <w:p w14:paraId="5324C855"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-$165,570</w:t>
            </w:r>
          </w:p>
        </w:tc>
      </w:tr>
      <w:tr w:rsidR="001E2681" w:rsidRPr="001E2681" w14:paraId="52BD1282"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6A9C63D8"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210038</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CAF50A8"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UMMC MIDTOWN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CB5E1D2"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$111,141,002</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28A5163F"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33.50%</w:t>
            </w:r>
          </w:p>
        </w:tc>
        <w:tc>
          <w:tcPr>
            <w:tcW w:w="1620" w:type="dxa"/>
            <w:tcBorders>
              <w:top w:val="single" w:sz="4" w:space="0" w:color="auto"/>
              <w:left w:val="single" w:sz="4" w:space="0" w:color="auto"/>
              <w:bottom w:val="single" w:sz="4" w:space="0" w:color="auto"/>
              <w:right w:val="single" w:sz="4" w:space="0" w:color="auto"/>
            </w:tcBorders>
            <w:shd w:val="clear" w:color="000000" w:fill="FDD6D7"/>
            <w:noWrap/>
            <w:tcMar>
              <w:left w:w="58" w:type="dxa"/>
              <w:right w:w="58" w:type="dxa"/>
            </w:tcMar>
            <w:vAlign w:val="center"/>
            <w:hideMark/>
          </w:tcPr>
          <w:p w14:paraId="60534A5F"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-0.37%</w:t>
            </w:r>
          </w:p>
        </w:tc>
        <w:tc>
          <w:tcPr>
            <w:tcW w:w="1890" w:type="dxa"/>
            <w:tcBorders>
              <w:top w:val="single" w:sz="4" w:space="0" w:color="auto"/>
              <w:left w:val="single" w:sz="4" w:space="0" w:color="auto"/>
              <w:bottom w:val="single" w:sz="4" w:space="0" w:color="auto"/>
              <w:right w:val="single" w:sz="4" w:space="0" w:color="auto"/>
            </w:tcBorders>
            <w:shd w:val="clear" w:color="000000" w:fill="FEF8F8"/>
            <w:noWrap/>
            <w:tcMar>
              <w:left w:w="58" w:type="dxa"/>
              <w:right w:w="58" w:type="dxa"/>
            </w:tcMar>
            <w:vAlign w:val="center"/>
            <w:hideMark/>
          </w:tcPr>
          <w:p w14:paraId="76591665"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-$411,222</w:t>
            </w:r>
          </w:p>
        </w:tc>
      </w:tr>
      <w:tr w:rsidR="001E2681" w:rsidRPr="001E2681" w14:paraId="4F6D9A1C"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A7BDBC5"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210039</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3CAAE68A"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CALVERT</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035B0B09"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$67,111,996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6C3160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55.00%</w:t>
            </w:r>
          </w:p>
        </w:tc>
        <w:tc>
          <w:tcPr>
            <w:tcW w:w="1620" w:type="dxa"/>
            <w:tcBorders>
              <w:top w:val="single" w:sz="4" w:space="0" w:color="auto"/>
              <w:left w:val="single" w:sz="4" w:space="0" w:color="auto"/>
              <w:bottom w:val="single" w:sz="4" w:space="0" w:color="auto"/>
              <w:right w:val="single" w:sz="4" w:space="0" w:color="auto"/>
            </w:tcBorders>
            <w:shd w:val="clear" w:color="000000" w:fill="87CD99"/>
            <w:noWrap/>
            <w:tcMar>
              <w:left w:w="58" w:type="dxa"/>
              <w:right w:w="58" w:type="dxa"/>
            </w:tcMar>
            <w:vAlign w:val="center"/>
            <w:hideMark/>
          </w:tcPr>
          <w:p w14:paraId="15303E58"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0.72%</w:t>
            </w:r>
          </w:p>
        </w:tc>
        <w:tc>
          <w:tcPr>
            <w:tcW w:w="1890" w:type="dxa"/>
            <w:tcBorders>
              <w:top w:val="single" w:sz="4" w:space="0" w:color="auto"/>
              <w:left w:val="single" w:sz="4" w:space="0" w:color="auto"/>
              <w:bottom w:val="single" w:sz="4" w:space="0" w:color="auto"/>
              <w:right w:val="single" w:sz="4" w:space="0" w:color="auto"/>
            </w:tcBorders>
            <w:shd w:val="clear" w:color="000000" w:fill="CBEAD3"/>
            <w:noWrap/>
            <w:tcMar>
              <w:left w:w="58" w:type="dxa"/>
              <w:right w:w="58" w:type="dxa"/>
            </w:tcMar>
            <w:vAlign w:val="center"/>
            <w:hideMark/>
          </w:tcPr>
          <w:p w14:paraId="76D473DB"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$483,206</w:t>
            </w:r>
          </w:p>
        </w:tc>
      </w:tr>
      <w:tr w:rsidR="001E2681" w:rsidRPr="001E2681" w14:paraId="0EC0CB2D"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ABE004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210040</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61CC6E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NORTHWEST</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9069CF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$138,719,920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4DBFEFBE"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28.00%</w:t>
            </w:r>
          </w:p>
        </w:tc>
        <w:tc>
          <w:tcPr>
            <w:tcW w:w="1620" w:type="dxa"/>
            <w:tcBorders>
              <w:top w:val="single" w:sz="4" w:space="0" w:color="auto"/>
              <w:left w:val="single" w:sz="4" w:space="0" w:color="auto"/>
              <w:bottom w:val="single" w:sz="4" w:space="0" w:color="auto"/>
              <w:right w:val="single" w:sz="4" w:space="0" w:color="auto"/>
            </w:tcBorders>
            <w:shd w:val="clear" w:color="000000" w:fill="FBBABA"/>
            <w:noWrap/>
            <w:tcMar>
              <w:left w:w="58" w:type="dxa"/>
              <w:right w:w="58" w:type="dxa"/>
            </w:tcMar>
            <w:vAlign w:val="center"/>
            <w:hideMark/>
          </w:tcPr>
          <w:p w14:paraId="575D2137"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-0.63%</w:t>
            </w:r>
          </w:p>
        </w:tc>
        <w:tc>
          <w:tcPr>
            <w:tcW w:w="1890" w:type="dxa"/>
            <w:tcBorders>
              <w:top w:val="single" w:sz="4" w:space="0" w:color="auto"/>
              <w:left w:val="single" w:sz="4" w:space="0" w:color="auto"/>
              <w:bottom w:val="single" w:sz="4" w:space="0" w:color="auto"/>
              <w:right w:val="single" w:sz="4" w:space="0" w:color="auto"/>
            </w:tcBorders>
            <w:shd w:val="clear" w:color="000000" w:fill="FEF0F0"/>
            <w:noWrap/>
            <w:tcMar>
              <w:left w:w="58" w:type="dxa"/>
              <w:right w:w="58" w:type="dxa"/>
            </w:tcMar>
            <w:vAlign w:val="center"/>
            <w:hideMark/>
          </w:tcPr>
          <w:p w14:paraId="2AD028FA"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-$873,935</w:t>
            </w:r>
          </w:p>
        </w:tc>
      </w:tr>
      <w:tr w:rsidR="001E2681" w:rsidRPr="001E2681" w14:paraId="1F5EEE01"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53F3459"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210043</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34C7FA3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BALTIMORE WASHINGTON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6D81A66"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$250,217,336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B79C14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34.58%</w:t>
            </w:r>
          </w:p>
        </w:tc>
        <w:tc>
          <w:tcPr>
            <w:tcW w:w="1620" w:type="dxa"/>
            <w:tcBorders>
              <w:top w:val="single" w:sz="4" w:space="0" w:color="auto"/>
              <w:left w:val="single" w:sz="4" w:space="0" w:color="auto"/>
              <w:bottom w:val="single" w:sz="4" w:space="0" w:color="auto"/>
              <w:right w:val="single" w:sz="4" w:space="0" w:color="auto"/>
            </w:tcBorders>
            <w:shd w:val="clear" w:color="000000" w:fill="FDDDDD"/>
            <w:noWrap/>
            <w:tcMar>
              <w:left w:w="58" w:type="dxa"/>
              <w:right w:w="58" w:type="dxa"/>
            </w:tcMar>
            <w:vAlign w:val="center"/>
            <w:hideMark/>
          </w:tcPr>
          <w:p w14:paraId="68F79A60"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-0.31%</w:t>
            </w:r>
          </w:p>
        </w:tc>
        <w:tc>
          <w:tcPr>
            <w:tcW w:w="1890" w:type="dxa"/>
            <w:tcBorders>
              <w:top w:val="single" w:sz="4" w:space="0" w:color="auto"/>
              <w:left w:val="single" w:sz="4" w:space="0" w:color="auto"/>
              <w:bottom w:val="single" w:sz="4" w:space="0" w:color="auto"/>
              <w:right w:val="single" w:sz="4" w:space="0" w:color="auto"/>
            </w:tcBorders>
            <w:shd w:val="clear" w:color="000000" w:fill="FEF2F2"/>
            <w:noWrap/>
            <w:tcMar>
              <w:left w:w="58" w:type="dxa"/>
              <w:right w:w="58" w:type="dxa"/>
            </w:tcMar>
            <w:vAlign w:val="center"/>
            <w:hideMark/>
          </w:tcPr>
          <w:p w14:paraId="7DEA44D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-$775,674</w:t>
            </w:r>
          </w:p>
        </w:tc>
      </w:tr>
      <w:tr w:rsidR="001E2681" w:rsidRPr="001E2681" w14:paraId="2A7D1C08"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7DD5B6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lastRenderedPageBreak/>
              <w:t>210044</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220768D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G.B.M.C.</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14EAAD9"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$237,787,317</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11FD020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38.17%</w:t>
            </w:r>
          </w:p>
        </w:tc>
        <w:tc>
          <w:tcPr>
            <w:tcW w:w="1620" w:type="dxa"/>
            <w:tcBorders>
              <w:top w:val="single" w:sz="4" w:space="0" w:color="auto"/>
              <w:left w:val="single" w:sz="4" w:space="0" w:color="auto"/>
              <w:bottom w:val="single" w:sz="4" w:space="0" w:color="auto"/>
              <w:right w:val="single" w:sz="4" w:space="0" w:color="auto"/>
            </w:tcBorders>
            <w:shd w:val="clear" w:color="000000" w:fill="FEEFEF"/>
            <w:noWrap/>
            <w:tcMar>
              <w:left w:w="58" w:type="dxa"/>
              <w:right w:w="58" w:type="dxa"/>
            </w:tcMar>
            <w:vAlign w:val="center"/>
            <w:hideMark/>
          </w:tcPr>
          <w:p w14:paraId="32438D0D"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-0.14%</w:t>
            </w:r>
          </w:p>
        </w:tc>
        <w:tc>
          <w:tcPr>
            <w:tcW w:w="1890" w:type="dxa"/>
            <w:tcBorders>
              <w:top w:val="single" w:sz="4" w:space="0" w:color="auto"/>
              <w:left w:val="single" w:sz="4" w:space="0" w:color="auto"/>
              <w:bottom w:val="single" w:sz="4" w:space="0" w:color="auto"/>
              <w:right w:val="single" w:sz="4" w:space="0" w:color="auto"/>
            </w:tcBorders>
            <w:shd w:val="clear" w:color="000000" w:fill="FEF9F9"/>
            <w:noWrap/>
            <w:tcMar>
              <w:left w:w="58" w:type="dxa"/>
              <w:right w:w="58" w:type="dxa"/>
            </w:tcMar>
            <w:vAlign w:val="center"/>
            <w:hideMark/>
          </w:tcPr>
          <w:p w14:paraId="648702A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-$332,902</w:t>
            </w:r>
          </w:p>
        </w:tc>
      </w:tr>
      <w:tr w:rsidR="001E2681" w:rsidRPr="001E2681" w14:paraId="2AD62BC4"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CA91934"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210048</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1E389F8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HOWARD COUNTY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D4BF9DE"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$182,870,977</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6BDA9F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41.67%</w:t>
            </w:r>
          </w:p>
        </w:tc>
        <w:tc>
          <w:tcPr>
            <w:tcW w:w="1620" w:type="dxa"/>
            <w:tcBorders>
              <w:top w:val="single" w:sz="4" w:space="0" w:color="auto"/>
              <w:left w:val="single" w:sz="4" w:space="0" w:color="auto"/>
              <w:bottom w:val="single" w:sz="4" w:space="0" w:color="auto"/>
              <w:right w:val="single" w:sz="4" w:space="0" w:color="auto"/>
            </w:tcBorders>
            <w:shd w:val="clear" w:color="000000" w:fill="FAFDFB"/>
            <w:noWrap/>
            <w:tcMar>
              <w:left w:w="58" w:type="dxa"/>
              <w:right w:w="58" w:type="dxa"/>
            </w:tcMar>
            <w:vAlign w:val="center"/>
            <w:hideMark/>
          </w:tcPr>
          <w:p w14:paraId="152E4D5D"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0.03%</w:t>
            </w:r>
          </w:p>
        </w:tc>
        <w:tc>
          <w:tcPr>
            <w:tcW w:w="1890" w:type="dxa"/>
            <w:tcBorders>
              <w:top w:val="single" w:sz="4" w:space="0" w:color="auto"/>
              <w:left w:val="single" w:sz="4" w:space="0" w:color="auto"/>
              <w:bottom w:val="single" w:sz="4" w:space="0" w:color="auto"/>
              <w:right w:val="single" w:sz="4" w:space="0" w:color="auto"/>
            </w:tcBorders>
            <w:shd w:val="clear" w:color="000000" w:fill="FAFDFA"/>
            <w:noWrap/>
            <w:tcMar>
              <w:left w:w="58" w:type="dxa"/>
              <w:right w:w="58" w:type="dxa"/>
            </w:tcMar>
            <w:vAlign w:val="center"/>
            <w:hideMark/>
          </w:tcPr>
          <w:p w14:paraId="2C5A9A1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$54,861</w:t>
            </w:r>
          </w:p>
        </w:tc>
      </w:tr>
      <w:tr w:rsidR="001E2681" w:rsidRPr="001E2681" w14:paraId="57D51572"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7559B5A6"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210049</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D9A8B08"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UPPER CHESAPEAKE HEALTH</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CD470C5"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$128,686,091</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CF71E9D"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46.33%</w:t>
            </w:r>
          </w:p>
        </w:tc>
        <w:tc>
          <w:tcPr>
            <w:tcW w:w="1620" w:type="dxa"/>
            <w:tcBorders>
              <w:top w:val="single" w:sz="4" w:space="0" w:color="auto"/>
              <w:left w:val="single" w:sz="4" w:space="0" w:color="auto"/>
              <w:bottom w:val="single" w:sz="4" w:space="0" w:color="auto"/>
              <w:right w:val="single" w:sz="4" w:space="0" w:color="auto"/>
            </w:tcBorders>
            <w:shd w:val="clear" w:color="000000" w:fill="D2EDD9"/>
            <w:noWrap/>
            <w:tcMar>
              <w:left w:w="58" w:type="dxa"/>
              <w:right w:w="58" w:type="dxa"/>
            </w:tcMar>
            <w:vAlign w:val="center"/>
            <w:hideMark/>
          </w:tcPr>
          <w:p w14:paraId="2F5E605A"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0.27%</w:t>
            </w:r>
          </w:p>
        </w:tc>
        <w:tc>
          <w:tcPr>
            <w:tcW w:w="1890" w:type="dxa"/>
            <w:tcBorders>
              <w:top w:val="single" w:sz="4" w:space="0" w:color="auto"/>
              <w:left w:val="single" w:sz="4" w:space="0" w:color="auto"/>
              <w:bottom w:val="single" w:sz="4" w:space="0" w:color="auto"/>
              <w:right w:val="single" w:sz="4" w:space="0" w:color="auto"/>
            </w:tcBorders>
            <w:shd w:val="clear" w:color="000000" w:fill="DAF0E0"/>
            <w:noWrap/>
            <w:tcMar>
              <w:left w:w="58" w:type="dxa"/>
              <w:right w:w="58" w:type="dxa"/>
            </w:tcMar>
            <w:vAlign w:val="center"/>
            <w:hideMark/>
          </w:tcPr>
          <w:p w14:paraId="52A3252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$347,452</w:t>
            </w:r>
          </w:p>
        </w:tc>
      </w:tr>
      <w:tr w:rsidR="001E2681" w:rsidRPr="001E2681" w14:paraId="1527475D"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24A48CC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210051</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57BAA53C"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DOCTORS COMMUNITY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E61C5F1"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$141,094,311</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7F36B8A"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43.70%</w:t>
            </w:r>
          </w:p>
        </w:tc>
        <w:tc>
          <w:tcPr>
            <w:tcW w:w="1620" w:type="dxa"/>
            <w:tcBorders>
              <w:top w:val="single" w:sz="4" w:space="0" w:color="auto"/>
              <w:left w:val="single" w:sz="4" w:space="0" w:color="auto"/>
              <w:bottom w:val="single" w:sz="4" w:space="0" w:color="auto"/>
              <w:right w:val="single" w:sz="4" w:space="0" w:color="auto"/>
            </w:tcBorders>
            <w:shd w:val="clear" w:color="000000" w:fill="E8F6EC"/>
            <w:noWrap/>
            <w:tcMar>
              <w:left w:w="58" w:type="dxa"/>
              <w:right w:w="58" w:type="dxa"/>
            </w:tcMar>
            <w:vAlign w:val="center"/>
            <w:hideMark/>
          </w:tcPr>
          <w:p w14:paraId="507187CA"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0.14%</w:t>
            </w:r>
          </w:p>
        </w:tc>
        <w:tc>
          <w:tcPr>
            <w:tcW w:w="1890" w:type="dxa"/>
            <w:tcBorders>
              <w:top w:val="single" w:sz="4" w:space="0" w:color="auto"/>
              <w:left w:val="single" w:sz="4" w:space="0" w:color="auto"/>
              <w:bottom w:val="single" w:sz="4" w:space="0" w:color="auto"/>
              <w:right w:val="single" w:sz="4" w:space="0" w:color="auto"/>
            </w:tcBorders>
            <w:shd w:val="clear" w:color="000000" w:fill="EAF7ED"/>
            <w:noWrap/>
            <w:tcMar>
              <w:left w:w="58" w:type="dxa"/>
              <w:right w:w="58" w:type="dxa"/>
            </w:tcMar>
            <w:vAlign w:val="center"/>
            <w:hideMark/>
          </w:tcPr>
          <w:p w14:paraId="2E73378F"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$197,532</w:t>
            </w:r>
          </w:p>
        </w:tc>
      </w:tr>
      <w:tr w:rsidR="001E2681" w:rsidRPr="001E2681" w14:paraId="58CD827D"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EE9692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210056</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7B745AC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GOOD SAMARITAN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9CC75EA"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$146,901,579</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3D46D31"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30.30%</w:t>
            </w:r>
          </w:p>
        </w:tc>
        <w:tc>
          <w:tcPr>
            <w:tcW w:w="1620" w:type="dxa"/>
            <w:tcBorders>
              <w:top w:val="single" w:sz="4" w:space="0" w:color="auto"/>
              <w:left w:val="single" w:sz="4" w:space="0" w:color="auto"/>
              <w:bottom w:val="single" w:sz="4" w:space="0" w:color="auto"/>
              <w:right w:val="single" w:sz="4" w:space="0" w:color="auto"/>
            </w:tcBorders>
            <w:shd w:val="clear" w:color="000000" w:fill="FCC6C6"/>
            <w:noWrap/>
            <w:tcMar>
              <w:left w:w="58" w:type="dxa"/>
              <w:right w:w="58" w:type="dxa"/>
            </w:tcMar>
            <w:vAlign w:val="center"/>
            <w:hideMark/>
          </w:tcPr>
          <w:p w14:paraId="376DF32D"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-0.52%</w:t>
            </w:r>
          </w:p>
        </w:tc>
        <w:tc>
          <w:tcPr>
            <w:tcW w:w="1890" w:type="dxa"/>
            <w:tcBorders>
              <w:top w:val="single" w:sz="4" w:space="0" w:color="auto"/>
              <w:left w:val="single" w:sz="4" w:space="0" w:color="auto"/>
              <w:bottom w:val="single" w:sz="4" w:space="0" w:color="auto"/>
              <w:right w:val="single" w:sz="4" w:space="0" w:color="auto"/>
            </w:tcBorders>
            <w:shd w:val="clear" w:color="000000" w:fill="FEF2F2"/>
            <w:noWrap/>
            <w:tcMar>
              <w:left w:w="58" w:type="dxa"/>
              <w:right w:w="58" w:type="dxa"/>
            </w:tcMar>
            <w:vAlign w:val="center"/>
            <w:hideMark/>
          </w:tcPr>
          <w:p w14:paraId="1016E14A"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-$763,888</w:t>
            </w:r>
          </w:p>
        </w:tc>
      </w:tr>
      <w:tr w:rsidR="001E2681" w:rsidRPr="001E2681" w14:paraId="6A96C3F3"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5F13CE8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210057</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15E5DD38"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SHADY GROVE</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E646338"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$251,748,234</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C3F25D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29.25%</w:t>
            </w:r>
          </w:p>
        </w:tc>
        <w:tc>
          <w:tcPr>
            <w:tcW w:w="1620" w:type="dxa"/>
            <w:tcBorders>
              <w:top w:val="single" w:sz="4" w:space="0" w:color="auto"/>
              <w:left w:val="single" w:sz="4" w:space="0" w:color="auto"/>
              <w:bottom w:val="single" w:sz="4" w:space="0" w:color="auto"/>
              <w:right w:val="single" w:sz="4" w:space="0" w:color="auto"/>
            </w:tcBorders>
            <w:shd w:val="clear" w:color="000000" w:fill="FCC0C1"/>
            <w:noWrap/>
            <w:tcMar>
              <w:left w:w="58" w:type="dxa"/>
              <w:right w:w="58" w:type="dxa"/>
            </w:tcMar>
            <w:vAlign w:val="center"/>
            <w:hideMark/>
          </w:tcPr>
          <w:p w14:paraId="7D9AD841"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-0.57%</w:t>
            </w:r>
          </w:p>
        </w:tc>
        <w:tc>
          <w:tcPr>
            <w:tcW w:w="1890" w:type="dxa"/>
            <w:tcBorders>
              <w:top w:val="single" w:sz="4" w:space="0" w:color="auto"/>
              <w:left w:val="single" w:sz="4" w:space="0" w:color="auto"/>
              <w:bottom w:val="single" w:sz="4" w:space="0" w:color="auto"/>
              <w:right w:val="single" w:sz="4" w:space="0" w:color="auto"/>
            </w:tcBorders>
            <w:shd w:val="clear" w:color="000000" w:fill="FDE7E7"/>
            <w:noWrap/>
            <w:tcMar>
              <w:left w:w="58" w:type="dxa"/>
              <w:right w:w="58" w:type="dxa"/>
            </w:tcMar>
            <w:vAlign w:val="center"/>
            <w:hideMark/>
          </w:tcPr>
          <w:p w14:paraId="38673631"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-$1,434,965</w:t>
            </w:r>
          </w:p>
        </w:tc>
      </w:tr>
      <w:tr w:rsidR="001E2681" w:rsidRPr="001E2681" w14:paraId="7ADB31AB" w14:textId="77777777" w:rsidTr="001E2681">
        <w:trPr>
          <w:trHeight w:val="315"/>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34E82C6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210060</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49FD21B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FT. WASHINGTON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0F028A2D"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$19,890,383</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F7B920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23.75%</w:t>
            </w:r>
          </w:p>
        </w:tc>
        <w:tc>
          <w:tcPr>
            <w:tcW w:w="1620" w:type="dxa"/>
            <w:tcBorders>
              <w:top w:val="single" w:sz="4" w:space="0" w:color="auto"/>
              <w:left w:val="single" w:sz="4" w:space="0" w:color="auto"/>
              <w:bottom w:val="single" w:sz="4" w:space="0" w:color="auto"/>
              <w:right w:val="single" w:sz="4" w:space="0" w:color="auto"/>
            </w:tcBorders>
            <w:shd w:val="clear" w:color="000000" w:fill="FAA3A4"/>
            <w:noWrap/>
            <w:tcMar>
              <w:left w:w="58" w:type="dxa"/>
              <w:right w:w="58" w:type="dxa"/>
            </w:tcMar>
            <w:vAlign w:val="center"/>
            <w:hideMark/>
          </w:tcPr>
          <w:p w14:paraId="729DDA6D"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-0.84%</w:t>
            </w:r>
          </w:p>
        </w:tc>
        <w:tc>
          <w:tcPr>
            <w:tcW w:w="1890" w:type="dxa"/>
            <w:tcBorders>
              <w:top w:val="single" w:sz="4" w:space="0" w:color="auto"/>
              <w:left w:val="single" w:sz="4" w:space="0" w:color="auto"/>
              <w:bottom w:val="single" w:sz="4" w:space="0" w:color="auto"/>
              <w:right w:val="single" w:sz="4" w:space="0" w:color="auto"/>
            </w:tcBorders>
            <w:shd w:val="clear" w:color="000000" w:fill="FEFCFC"/>
            <w:noWrap/>
            <w:tcMar>
              <w:left w:w="58" w:type="dxa"/>
              <w:right w:w="58" w:type="dxa"/>
            </w:tcMar>
            <w:vAlign w:val="center"/>
            <w:hideMark/>
          </w:tcPr>
          <w:p w14:paraId="2CD17751"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-$167,079</w:t>
            </w:r>
          </w:p>
        </w:tc>
      </w:tr>
      <w:tr w:rsidR="001E2681" w:rsidRPr="001E2681" w14:paraId="4BF84574" w14:textId="77777777" w:rsidTr="001E2681">
        <w:trPr>
          <w:trHeight w:val="312"/>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460D65C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210061</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0B05880A"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ATLANTIC GENERAL</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E40A2D3"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$36,931,910</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40B3658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46.00%</w:t>
            </w:r>
          </w:p>
        </w:tc>
        <w:tc>
          <w:tcPr>
            <w:tcW w:w="1620" w:type="dxa"/>
            <w:tcBorders>
              <w:top w:val="single" w:sz="4" w:space="0" w:color="auto"/>
              <w:left w:val="single" w:sz="4" w:space="0" w:color="auto"/>
              <w:bottom w:val="single" w:sz="4" w:space="0" w:color="auto"/>
              <w:right w:val="single" w:sz="4" w:space="0" w:color="auto"/>
            </w:tcBorders>
            <w:shd w:val="clear" w:color="000000" w:fill="D4EDDB"/>
            <w:noWrap/>
            <w:tcMar>
              <w:left w:w="58" w:type="dxa"/>
              <w:right w:w="58" w:type="dxa"/>
            </w:tcMar>
            <w:vAlign w:val="center"/>
            <w:hideMark/>
          </w:tcPr>
          <w:p w14:paraId="3D4A9CAC"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0.26%</w:t>
            </w:r>
          </w:p>
        </w:tc>
        <w:tc>
          <w:tcPr>
            <w:tcW w:w="1890" w:type="dxa"/>
            <w:tcBorders>
              <w:top w:val="single" w:sz="4" w:space="0" w:color="auto"/>
              <w:left w:val="single" w:sz="4" w:space="0" w:color="auto"/>
              <w:bottom w:val="single" w:sz="4" w:space="0" w:color="auto"/>
              <w:right w:val="single" w:sz="4" w:space="0" w:color="auto"/>
            </w:tcBorders>
            <w:shd w:val="clear" w:color="000000" w:fill="F5FBF7"/>
            <w:noWrap/>
            <w:tcMar>
              <w:left w:w="58" w:type="dxa"/>
              <w:right w:w="58" w:type="dxa"/>
            </w:tcMar>
            <w:vAlign w:val="center"/>
            <w:hideMark/>
          </w:tcPr>
          <w:p w14:paraId="726947E6"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$96,023</w:t>
            </w:r>
          </w:p>
        </w:tc>
      </w:tr>
      <w:tr w:rsidR="001E2681" w:rsidRPr="001E2681" w14:paraId="2E3096B5" w14:textId="77777777" w:rsidTr="001E2681">
        <w:trPr>
          <w:trHeight w:val="420"/>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0E8D599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210062</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5FB1F52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SOUTHERN MARYLAND</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4915CA94"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$162,087,856</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64097691"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32.25%</w:t>
            </w:r>
          </w:p>
        </w:tc>
        <w:tc>
          <w:tcPr>
            <w:tcW w:w="1620" w:type="dxa"/>
            <w:tcBorders>
              <w:top w:val="single" w:sz="4" w:space="0" w:color="auto"/>
              <w:left w:val="single" w:sz="4" w:space="0" w:color="auto"/>
              <w:bottom w:val="single" w:sz="4" w:space="0" w:color="auto"/>
              <w:right w:val="single" w:sz="4" w:space="0" w:color="auto"/>
            </w:tcBorders>
            <w:shd w:val="clear" w:color="000000" w:fill="FCCFD0"/>
            <w:noWrap/>
            <w:tcMar>
              <w:left w:w="58" w:type="dxa"/>
              <w:right w:w="58" w:type="dxa"/>
            </w:tcMar>
            <w:vAlign w:val="center"/>
            <w:hideMark/>
          </w:tcPr>
          <w:p w14:paraId="5A167A9B"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-0.43%</w:t>
            </w:r>
          </w:p>
        </w:tc>
        <w:tc>
          <w:tcPr>
            <w:tcW w:w="1890" w:type="dxa"/>
            <w:tcBorders>
              <w:top w:val="single" w:sz="4" w:space="0" w:color="auto"/>
              <w:left w:val="single" w:sz="4" w:space="0" w:color="auto"/>
              <w:bottom w:val="single" w:sz="4" w:space="0" w:color="auto"/>
              <w:right w:val="single" w:sz="4" w:space="0" w:color="auto"/>
            </w:tcBorders>
            <w:shd w:val="clear" w:color="000000" w:fill="FEF3F3"/>
            <w:noWrap/>
            <w:tcMar>
              <w:left w:w="58" w:type="dxa"/>
              <w:right w:w="58" w:type="dxa"/>
            </w:tcMar>
            <w:vAlign w:val="center"/>
            <w:hideMark/>
          </w:tcPr>
          <w:p w14:paraId="2B6A75A9"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-$696,978</w:t>
            </w:r>
          </w:p>
        </w:tc>
      </w:tr>
      <w:tr w:rsidR="001E2681" w:rsidRPr="001E2681" w14:paraId="591182E1" w14:textId="77777777" w:rsidTr="001E2681">
        <w:trPr>
          <w:trHeight w:val="420"/>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19126E14"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210063</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7315C45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UM ST. JOSEPH</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519231B"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$223,399,907</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506487F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51.17%</w:t>
            </w:r>
          </w:p>
        </w:tc>
        <w:tc>
          <w:tcPr>
            <w:tcW w:w="1620" w:type="dxa"/>
            <w:tcBorders>
              <w:top w:val="single" w:sz="4" w:space="0" w:color="auto"/>
              <w:left w:val="single" w:sz="4" w:space="0" w:color="auto"/>
              <w:bottom w:val="single" w:sz="4" w:space="0" w:color="auto"/>
              <w:right w:val="single" w:sz="4" w:space="0" w:color="auto"/>
            </w:tcBorders>
            <w:shd w:val="clear" w:color="000000" w:fill="A8DBB6"/>
            <w:noWrap/>
            <w:tcMar>
              <w:left w:w="58" w:type="dxa"/>
              <w:right w:w="58" w:type="dxa"/>
            </w:tcMar>
            <w:vAlign w:val="center"/>
            <w:hideMark/>
          </w:tcPr>
          <w:p w14:paraId="3BC101AC"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0.52%</w:t>
            </w:r>
          </w:p>
        </w:tc>
        <w:tc>
          <w:tcPr>
            <w:tcW w:w="1890" w:type="dxa"/>
            <w:tcBorders>
              <w:top w:val="single" w:sz="4" w:space="0" w:color="auto"/>
              <w:left w:val="single" w:sz="4" w:space="0" w:color="auto"/>
              <w:bottom w:val="single" w:sz="4" w:space="0" w:color="auto"/>
              <w:right w:val="single" w:sz="4" w:space="0" w:color="auto"/>
            </w:tcBorders>
            <w:shd w:val="clear" w:color="000000" w:fill="82CB95"/>
            <w:noWrap/>
            <w:tcMar>
              <w:left w:w="58" w:type="dxa"/>
              <w:right w:w="58" w:type="dxa"/>
            </w:tcMar>
            <w:vAlign w:val="center"/>
            <w:hideMark/>
          </w:tcPr>
          <w:p w14:paraId="7669EF62"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$1,161,680</w:t>
            </w:r>
          </w:p>
        </w:tc>
      </w:tr>
      <w:tr w:rsidR="001E2681" w:rsidRPr="001E2681" w14:paraId="3FD00719" w14:textId="77777777" w:rsidTr="001E2681">
        <w:trPr>
          <w:trHeight w:val="330"/>
        </w:trPr>
        <w:tc>
          <w:tcPr>
            <w:tcW w:w="72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14:paraId="0FD6CA6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210065</w:t>
            </w:r>
          </w:p>
        </w:tc>
        <w:tc>
          <w:tcPr>
            <w:tcW w:w="306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14:paraId="3E1EC082"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HC-GERMANTOWN</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CCC09D4" w14:textId="77777777" w:rsidR="001E2681" w:rsidRPr="001E2681" w:rsidRDefault="001E2681" w:rsidP="001E2681">
            <w:pPr>
              <w:spacing w:before="0" w:after="0"/>
              <w:jc w:val="right"/>
              <w:rPr>
                <w:rFonts w:ascii="Arial" w:hAnsi="Arial" w:cs="Arial"/>
                <w:color w:val="000000"/>
                <w:sz w:val="20"/>
                <w:szCs w:val="20"/>
              </w:rPr>
            </w:pPr>
            <w:r w:rsidRPr="001E2681">
              <w:rPr>
                <w:rFonts w:ascii="Arial" w:hAnsi="Arial" w:cs="Arial"/>
                <w:color w:val="000000"/>
                <w:sz w:val="20"/>
                <w:szCs w:val="20"/>
              </w:rPr>
              <w:t>$59,062,315</w:t>
            </w:r>
          </w:p>
        </w:tc>
        <w:tc>
          <w:tcPr>
            <w:tcW w:w="1800" w:type="dxa"/>
            <w:tcBorders>
              <w:top w:val="nil"/>
              <w:left w:val="nil"/>
              <w:bottom w:val="single" w:sz="4" w:space="0" w:color="4F493B"/>
              <w:right w:val="single" w:sz="4" w:space="0" w:color="4F493B"/>
            </w:tcBorders>
            <w:shd w:val="clear" w:color="auto" w:fill="auto"/>
            <w:tcMar>
              <w:left w:w="58" w:type="dxa"/>
              <w:right w:w="58" w:type="dxa"/>
            </w:tcMar>
            <w:vAlign w:val="center"/>
            <w:hideMark/>
          </w:tcPr>
          <w:p w14:paraId="7AA1D23E"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 xml:space="preserve"> 22.50%</w:t>
            </w:r>
          </w:p>
        </w:tc>
        <w:tc>
          <w:tcPr>
            <w:tcW w:w="1620" w:type="dxa"/>
            <w:tcBorders>
              <w:top w:val="single" w:sz="4" w:space="0" w:color="auto"/>
              <w:left w:val="single" w:sz="4" w:space="0" w:color="auto"/>
              <w:bottom w:val="single" w:sz="4" w:space="0" w:color="auto"/>
              <w:right w:val="single" w:sz="4" w:space="0" w:color="auto"/>
            </w:tcBorders>
            <w:shd w:val="clear" w:color="000000" w:fill="FA9C9D"/>
            <w:noWrap/>
            <w:tcMar>
              <w:left w:w="58" w:type="dxa"/>
              <w:right w:w="58" w:type="dxa"/>
            </w:tcMar>
            <w:vAlign w:val="center"/>
            <w:hideMark/>
          </w:tcPr>
          <w:p w14:paraId="2D0B98A0"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-0.90%</w:t>
            </w:r>
          </w:p>
        </w:tc>
        <w:tc>
          <w:tcPr>
            <w:tcW w:w="1890" w:type="dxa"/>
            <w:tcBorders>
              <w:top w:val="single" w:sz="4" w:space="0" w:color="auto"/>
              <w:left w:val="single" w:sz="4" w:space="0" w:color="auto"/>
              <w:bottom w:val="single" w:sz="4" w:space="0" w:color="auto"/>
              <w:right w:val="single" w:sz="4" w:space="0" w:color="auto"/>
            </w:tcBorders>
            <w:shd w:val="clear" w:color="000000" w:fill="FEF6F6"/>
            <w:noWrap/>
            <w:tcMar>
              <w:left w:w="58" w:type="dxa"/>
              <w:right w:w="58" w:type="dxa"/>
            </w:tcMar>
            <w:vAlign w:val="center"/>
            <w:hideMark/>
          </w:tcPr>
          <w:p w14:paraId="30EAEE98"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-$531,561</w:t>
            </w:r>
          </w:p>
        </w:tc>
      </w:tr>
      <w:tr w:rsidR="001E2681" w:rsidRPr="001E2681" w14:paraId="4794D204" w14:textId="77777777" w:rsidTr="001E2681">
        <w:trPr>
          <w:trHeight w:val="420"/>
        </w:trPr>
        <w:tc>
          <w:tcPr>
            <w:tcW w:w="72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2AAD27AB"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 </w:t>
            </w:r>
          </w:p>
        </w:tc>
        <w:tc>
          <w:tcPr>
            <w:tcW w:w="306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4FD79FF0"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 </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E1FABB5"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tcMar>
              <w:left w:w="58" w:type="dxa"/>
              <w:right w:w="58" w:type="dxa"/>
            </w:tcMar>
            <w:vAlign w:val="center"/>
            <w:hideMark/>
          </w:tcPr>
          <w:p w14:paraId="400AF959" w14:textId="77777777" w:rsidR="001E2681" w:rsidRPr="001E2681" w:rsidRDefault="001E2681" w:rsidP="001E2681">
            <w:pPr>
              <w:spacing w:before="0" w:after="0"/>
              <w:jc w:val="right"/>
              <w:rPr>
                <w:rFonts w:ascii="Arial" w:hAnsi="Arial" w:cs="Arial"/>
                <w:sz w:val="20"/>
                <w:szCs w:val="20"/>
              </w:rPr>
            </w:pPr>
            <w:r w:rsidRPr="001E2681">
              <w:rPr>
                <w:rFonts w:ascii="Arial" w:hAnsi="Arial" w:cs="Arial"/>
                <w:sz w:val="20"/>
                <w:szCs w:val="20"/>
              </w:rPr>
              <w:t> </w:t>
            </w:r>
          </w:p>
        </w:tc>
        <w:tc>
          <w:tcPr>
            <w:tcW w:w="162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000CA6D3" w14:textId="77777777" w:rsidR="001E2681" w:rsidRPr="001E2681" w:rsidRDefault="001E2681" w:rsidP="001E2681">
            <w:pPr>
              <w:spacing w:before="0" w:after="0"/>
              <w:rPr>
                <w:rFonts w:ascii="Arial" w:hAnsi="Arial" w:cs="Arial"/>
                <w:color w:val="000000"/>
                <w:sz w:val="20"/>
                <w:szCs w:val="20"/>
              </w:rPr>
            </w:pPr>
            <w:r w:rsidRPr="001E2681">
              <w:rPr>
                <w:rFonts w:ascii="Arial" w:hAnsi="Arial" w:cs="Arial"/>
                <w:color w:val="000000"/>
                <w:sz w:val="20"/>
                <w:szCs w:val="20"/>
              </w:rPr>
              <w:t> </w:t>
            </w:r>
          </w:p>
        </w:tc>
        <w:tc>
          <w:tcPr>
            <w:tcW w:w="189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006897D1" w14:textId="77777777" w:rsidR="001E2681" w:rsidRPr="001E2681" w:rsidRDefault="001E2681" w:rsidP="001E2681">
            <w:pPr>
              <w:spacing w:before="0" w:after="0"/>
              <w:rPr>
                <w:rFonts w:ascii="Arial" w:hAnsi="Arial" w:cs="Arial"/>
                <w:color w:val="000000"/>
                <w:sz w:val="20"/>
                <w:szCs w:val="20"/>
              </w:rPr>
            </w:pPr>
            <w:r w:rsidRPr="001E2681">
              <w:rPr>
                <w:rFonts w:ascii="Arial" w:hAnsi="Arial" w:cs="Arial"/>
                <w:color w:val="000000"/>
                <w:sz w:val="20"/>
                <w:szCs w:val="20"/>
              </w:rPr>
              <w:t> </w:t>
            </w:r>
          </w:p>
        </w:tc>
      </w:tr>
      <w:tr w:rsidR="001E2681" w:rsidRPr="001E2681" w14:paraId="1F62FA9A" w14:textId="77777777" w:rsidTr="001E2681">
        <w:trPr>
          <w:trHeight w:val="507"/>
        </w:trPr>
        <w:tc>
          <w:tcPr>
            <w:tcW w:w="720" w:type="dxa"/>
            <w:tcBorders>
              <w:top w:val="nil"/>
              <w:left w:val="single" w:sz="4" w:space="0" w:color="auto"/>
              <w:bottom w:val="single" w:sz="4" w:space="0" w:color="auto"/>
              <w:right w:val="single" w:sz="4" w:space="0" w:color="auto"/>
            </w:tcBorders>
            <w:shd w:val="clear" w:color="000000" w:fill="EDEDED"/>
            <w:noWrap/>
            <w:tcMar>
              <w:left w:w="58" w:type="dxa"/>
              <w:right w:w="58" w:type="dxa"/>
            </w:tcMar>
            <w:vAlign w:val="center"/>
            <w:hideMark/>
          </w:tcPr>
          <w:p w14:paraId="3349C794" w14:textId="77777777" w:rsidR="001E2681" w:rsidRPr="001E2681" w:rsidRDefault="001E2681" w:rsidP="001E2681">
            <w:pPr>
              <w:spacing w:before="0" w:after="0"/>
              <w:rPr>
                <w:rFonts w:ascii="Arial" w:hAnsi="Arial" w:cs="Arial"/>
                <w:b/>
                <w:bCs/>
                <w:color w:val="000000"/>
                <w:sz w:val="20"/>
                <w:szCs w:val="20"/>
              </w:rPr>
            </w:pPr>
            <w:r w:rsidRPr="001E2681">
              <w:rPr>
                <w:rFonts w:ascii="Arial"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EDEDED"/>
            <w:noWrap/>
            <w:tcMar>
              <w:left w:w="58" w:type="dxa"/>
              <w:right w:w="58" w:type="dxa"/>
            </w:tcMar>
            <w:vAlign w:val="center"/>
            <w:hideMark/>
          </w:tcPr>
          <w:p w14:paraId="307A3B4E"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Statewide Total</w:t>
            </w:r>
          </w:p>
        </w:tc>
        <w:tc>
          <w:tcPr>
            <w:tcW w:w="1800" w:type="dxa"/>
            <w:tcBorders>
              <w:top w:val="nil"/>
              <w:left w:val="nil"/>
              <w:bottom w:val="single" w:sz="4" w:space="0" w:color="auto"/>
              <w:right w:val="single" w:sz="4" w:space="0" w:color="auto"/>
            </w:tcBorders>
            <w:shd w:val="clear" w:color="000000" w:fill="EDEDED"/>
            <w:noWrap/>
            <w:tcMar>
              <w:left w:w="58" w:type="dxa"/>
              <w:right w:w="58" w:type="dxa"/>
            </w:tcMar>
            <w:vAlign w:val="center"/>
            <w:hideMark/>
          </w:tcPr>
          <w:p w14:paraId="5C41DE33" w14:textId="77777777" w:rsidR="001E2681" w:rsidRPr="001E2681" w:rsidRDefault="001E2681" w:rsidP="001E2681">
            <w:pPr>
              <w:spacing w:before="0" w:after="0"/>
              <w:jc w:val="right"/>
              <w:rPr>
                <w:rFonts w:ascii="Arial" w:hAnsi="Arial" w:cs="Arial"/>
                <w:b/>
                <w:bCs/>
                <w:color w:val="000000"/>
                <w:sz w:val="20"/>
                <w:szCs w:val="20"/>
              </w:rPr>
            </w:pPr>
            <w:r w:rsidRPr="001E2681">
              <w:rPr>
                <w:rFonts w:ascii="Arial" w:hAnsi="Arial" w:cs="Arial"/>
                <w:b/>
                <w:bCs/>
                <w:color w:val="000000"/>
                <w:sz w:val="20"/>
                <w:szCs w:val="20"/>
              </w:rPr>
              <w:t>$9,620,041,749</w:t>
            </w:r>
          </w:p>
        </w:tc>
        <w:tc>
          <w:tcPr>
            <w:tcW w:w="1800" w:type="dxa"/>
            <w:tcBorders>
              <w:top w:val="nil"/>
              <w:left w:val="nil"/>
              <w:bottom w:val="single" w:sz="4" w:space="0" w:color="auto"/>
              <w:right w:val="single" w:sz="4" w:space="0" w:color="auto"/>
            </w:tcBorders>
            <w:shd w:val="clear" w:color="000000" w:fill="EDEDED"/>
            <w:noWrap/>
            <w:tcMar>
              <w:left w:w="58" w:type="dxa"/>
              <w:right w:w="58" w:type="dxa"/>
            </w:tcMar>
            <w:vAlign w:val="center"/>
            <w:hideMark/>
          </w:tcPr>
          <w:p w14:paraId="65F63393"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 </w:t>
            </w:r>
          </w:p>
        </w:tc>
        <w:tc>
          <w:tcPr>
            <w:tcW w:w="1620" w:type="dxa"/>
            <w:tcBorders>
              <w:top w:val="nil"/>
              <w:left w:val="nil"/>
              <w:bottom w:val="single" w:sz="4" w:space="0" w:color="auto"/>
              <w:right w:val="single" w:sz="4" w:space="0" w:color="auto"/>
            </w:tcBorders>
            <w:shd w:val="clear" w:color="000000" w:fill="EDEDED"/>
            <w:noWrap/>
            <w:tcMar>
              <w:left w:w="58" w:type="dxa"/>
              <w:right w:w="58" w:type="dxa"/>
            </w:tcMar>
            <w:vAlign w:val="center"/>
            <w:hideMark/>
          </w:tcPr>
          <w:p w14:paraId="31258191" w14:textId="77777777" w:rsidR="001E2681" w:rsidRPr="001E2681" w:rsidRDefault="001E2681" w:rsidP="001E2681">
            <w:pPr>
              <w:spacing w:before="0" w:after="0"/>
              <w:rPr>
                <w:rFonts w:ascii="Arial" w:hAnsi="Arial" w:cs="Arial"/>
                <w:color w:val="000000"/>
                <w:sz w:val="20"/>
                <w:szCs w:val="20"/>
              </w:rPr>
            </w:pPr>
            <w:r w:rsidRPr="001E2681">
              <w:rPr>
                <w:rFonts w:ascii="Arial" w:hAnsi="Arial" w:cs="Arial"/>
                <w:color w:val="000000"/>
                <w:sz w:val="20"/>
                <w:szCs w:val="20"/>
              </w:rPr>
              <w:t> </w:t>
            </w:r>
          </w:p>
        </w:tc>
        <w:tc>
          <w:tcPr>
            <w:tcW w:w="1890" w:type="dxa"/>
            <w:tcBorders>
              <w:top w:val="nil"/>
              <w:left w:val="nil"/>
              <w:bottom w:val="single" w:sz="4" w:space="0" w:color="auto"/>
              <w:right w:val="single" w:sz="4" w:space="0" w:color="auto"/>
            </w:tcBorders>
            <w:shd w:val="clear" w:color="000000" w:fill="EDEDED"/>
            <w:noWrap/>
            <w:tcMar>
              <w:left w:w="58" w:type="dxa"/>
              <w:right w:w="58" w:type="dxa"/>
            </w:tcMar>
            <w:vAlign w:val="center"/>
            <w:hideMark/>
          </w:tcPr>
          <w:p w14:paraId="06E8787D" w14:textId="77777777" w:rsidR="001E2681" w:rsidRPr="001E2681" w:rsidRDefault="001E2681" w:rsidP="001E2681">
            <w:pPr>
              <w:spacing w:before="0" w:after="0"/>
              <w:jc w:val="center"/>
              <w:rPr>
                <w:rFonts w:ascii="Arial" w:hAnsi="Arial" w:cs="Arial"/>
                <w:b/>
                <w:bCs/>
                <w:sz w:val="20"/>
                <w:szCs w:val="20"/>
              </w:rPr>
            </w:pPr>
            <w:r w:rsidRPr="001E2681">
              <w:rPr>
                <w:rFonts w:ascii="Arial" w:hAnsi="Arial" w:cs="Arial"/>
                <w:b/>
                <w:bCs/>
                <w:sz w:val="20"/>
                <w:szCs w:val="20"/>
              </w:rPr>
              <w:t>-$40,033,022</w:t>
            </w:r>
          </w:p>
        </w:tc>
      </w:tr>
      <w:tr w:rsidR="001E2681" w:rsidRPr="001E2681" w14:paraId="32AAC361"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33349959" w14:textId="77777777" w:rsidR="001E2681" w:rsidRPr="001E2681" w:rsidRDefault="001E2681" w:rsidP="001E2681">
            <w:pPr>
              <w:spacing w:before="0" w:after="0"/>
              <w:jc w:val="center"/>
              <w:rPr>
                <w:rFonts w:ascii="Arial" w:hAnsi="Arial" w:cs="Arial"/>
                <w:b/>
                <w:bCs/>
                <w:sz w:val="20"/>
                <w:szCs w:val="20"/>
              </w:rPr>
            </w:pPr>
          </w:p>
        </w:tc>
        <w:tc>
          <w:tcPr>
            <w:tcW w:w="3060" w:type="dxa"/>
            <w:tcBorders>
              <w:top w:val="nil"/>
              <w:left w:val="nil"/>
              <w:bottom w:val="nil"/>
              <w:right w:val="nil"/>
            </w:tcBorders>
            <w:shd w:val="clear" w:color="000000" w:fill="FFFFFF"/>
            <w:noWrap/>
            <w:tcMar>
              <w:left w:w="58" w:type="dxa"/>
              <w:right w:w="58" w:type="dxa"/>
            </w:tcMar>
            <w:vAlign w:val="center"/>
            <w:hideMark/>
          </w:tcPr>
          <w:p w14:paraId="03EBB60A"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 </w:t>
            </w:r>
          </w:p>
        </w:tc>
        <w:tc>
          <w:tcPr>
            <w:tcW w:w="1800" w:type="dxa"/>
            <w:tcBorders>
              <w:top w:val="nil"/>
              <w:left w:val="nil"/>
              <w:bottom w:val="nil"/>
              <w:right w:val="nil"/>
            </w:tcBorders>
            <w:shd w:val="clear" w:color="000000" w:fill="FFFFFF"/>
            <w:noWrap/>
            <w:tcMar>
              <w:left w:w="58" w:type="dxa"/>
              <w:right w:w="58" w:type="dxa"/>
            </w:tcMar>
            <w:vAlign w:val="center"/>
            <w:hideMark/>
          </w:tcPr>
          <w:p w14:paraId="04B354C9"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Average</w:t>
            </w:r>
          </w:p>
        </w:tc>
        <w:tc>
          <w:tcPr>
            <w:tcW w:w="1800" w:type="dxa"/>
            <w:tcBorders>
              <w:top w:val="nil"/>
              <w:left w:val="nil"/>
              <w:bottom w:val="nil"/>
              <w:right w:val="nil"/>
            </w:tcBorders>
            <w:shd w:val="clear" w:color="000000" w:fill="FFFFFF"/>
            <w:noWrap/>
            <w:tcMar>
              <w:left w:w="58" w:type="dxa"/>
              <w:right w:w="58" w:type="dxa"/>
            </w:tcMar>
            <w:vAlign w:val="center"/>
            <w:hideMark/>
          </w:tcPr>
          <w:p w14:paraId="6EC84A81" w14:textId="77777777" w:rsidR="001E2681" w:rsidRPr="001E2681" w:rsidRDefault="001E2681" w:rsidP="001E2681">
            <w:pPr>
              <w:spacing w:before="0" w:after="0"/>
              <w:jc w:val="center"/>
              <w:rPr>
                <w:rFonts w:ascii="Arial" w:hAnsi="Arial" w:cs="Arial"/>
                <w:b/>
                <w:bCs/>
                <w:sz w:val="20"/>
                <w:szCs w:val="20"/>
              </w:rPr>
            </w:pPr>
          </w:p>
        </w:tc>
        <w:tc>
          <w:tcPr>
            <w:tcW w:w="1620" w:type="dxa"/>
            <w:tcBorders>
              <w:top w:val="nil"/>
              <w:left w:val="nil"/>
              <w:bottom w:val="nil"/>
              <w:right w:val="nil"/>
            </w:tcBorders>
            <w:shd w:val="clear" w:color="auto" w:fill="auto"/>
            <w:noWrap/>
            <w:tcMar>
              <w:left w:w="58" w:type="dxa"/>
              <w:right w:w="58" w:type="dxa"/>
            </w:tcMar>
            <w:vAlign w:val="center"/>
            <w:hideMark/>
          </w:tcPr>
          <w:p w14:paraId="14DF2C81" w14:textId="77777777" w:rsidR="001E2681" w:rsidRPr="001E2681" w:rsidRDefault="001E2681" w:rsidP="001E2681">
            <w:pPr>
              <w:spacing w:before="0" w:after="0"/>
              <w:jc w:val="center"/>
              <w:rPr>
                <w:rFonts w:ascii="Arial" w:hAnsi="Arial" w:cs="Arial"/>
                <w:b/>
                <w:bCs/>
                <w:sz w:val="20"/>
                <w:szCs w:val="20"/>
              </w:rPr>
            </w:pPr>
          </w:p>
        </w:tc>
        <w:tc>
          <w:tcPr>
            <w:tcW w:w="1890" w:type="dxa"/>
            <w:tcBorders>
              <w:top w:val="nil"/>
              <w:left w:val="nil"/>
              <w:bottom w:val="nil"/>
              <w:right w:val="single" w:sz="8" w:space="0" w:color="auto"/>
            </w:tcBorders>
            <w:shd w:val="clear" w:color="auto" w:fill="auto"/>
            <w:noWrap/>
            <w:tcMar>
              <w:left w:w="58" w:type="dxa"/>
              <w:right w:w="58" w:type="dxa"/>
            </w:tcMar>
            <w:vAlign w:val="center"/>
            <w:hideMark/>
          </w:tcPr>
          <w:p w14:paraId="50BB0B3B" w14:textId="77777777" w:rsidR="001E2681" w:rsidRPr="001E2681" w:rsidRDefault="001E2681" w:rsidP="001E2681">
            <w:pPr>
              <w:spacing w:before="0" w:after="0"/>
              <w:jc w:val="center"/>
              <w:rPr>
                <w:rFonts w:ascii="Arial" w:hAnsi="Arial" w:cs="Arial"/>
                <w:color w:val="000000"/>
                <w:sz w:val="20"/>
                <w:szCs w:val="20"/>
              </w:rPr>
            </w:pPr>
            <w:r w:rsidRPr="001E2681">
              <w:rPr>
                <w:rFonts w:ascii="Arial" w:hAnsi="Arial" w:cs="Arial"/>
                <w:color w:val="000000"/>
                <w:sz w:val="20"/>
                <w:szCs w:val="20"/>
              </w:rPr>
              <w:t>-0.42%</w:t>
            </w:r>
          </w:p>
        </w:tc>
      </w:tr>
      <w:tr w:rsidR="001E2681" w:rsidRPr="001E2681" w14:paraId="4BF38801"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5C163E1F" w14:textId="77777777" w:rsidR="001E2681" w:rsidRPr="001E2681" w:rsidRDefault="001E2681" w:rsidP="001E2681">
            <w:pPr>
              <w:spacing w:before="0" w:after="0"/>
              <w:jc w:val="center"/>
              <w:rPr>
                <w:rFonts w:ascii="Arial" w:hAnsi="Arial" w:cs="Arial"/>
                <w:color w:val="000000"/>
                <w:sz w:val="20"/>
                <w:szCs w:val="20"/>
              </w:rPr>
            </w:pPr>
          </w:p>
        </w:tc>
        <w:tc>
          <w:tcPr>
            <w:tcW w:w="3060" w:type="dxa"/>
            <w:tcBorders>
              <w:top w:val="nil"/>
              <w:left w:val="nil"/>
              <w:bottom w:val="nil"/>
              <w:right w:val="nil"/>
            </w:tcBorders>
            <w:shd w:val="clear" w:color="auto" w:fill="auto"/>
            <w:noWrap/>
            <w:tcMar>
              <w:left w:w="58" w:type="dxa"/>
              <w:right w:w="58" w:type="dxa"/>
            </w:tcMar>
            <w:vAlign w:val="center"/>
            <w:hideMark/>
          </w:tcPr>
          <w:p w14:paraId="5C5A1BF4" w14:textId="77777777" w:rsidR="001E2681" w:rsidRPr="001E2681" w:rsidRDefault="001E2681" w:rsidP="001E2681">
            <w:pPr>
              <w:spacing w:before="0" w:after="0"/>
              <w:rPr>
                <w:sz w:val="20"/>
                <w:szCs w:val="20"/>
              </w:rPr>
            </w:pPr>
          </w:p>
        </w:tc>
        <w:tc>
          <w:tcPr>
            <w:tcW w:w="1800" w:type="dxa"/>
            <w:tcBorders>
              <w:top w:val="nil"/>
              <w:left w:val="nil"/>
              <w:bottom w:val="nil"/>
              <w:right w:val="nil"/>
            </w:tcBorders>
            <w:shd w:val="clear" w:color="auto" w:fill="auto"/>
            <w:noWrap/>
            <w:tcMar>
              <w:left w:w="58" w:type="dxa"/>
              <w:right w:w="58" w:type="dxa"/>
            </w:tcMar>
            <w:vAlign w:val="center"/>
            <w:hideMark/>
          </w:tcPr>
          <w:p w14:paraId="07EF40AD" w14:textId="77777777" w:rsidR="001E2681" w:rsidRPr="001E2681" w:rsidRDefault="001E2681" w:rsidP="001E2681">
            <w:pPr>
              <w:spacing w:before="0" w:after="0"/>
              <w:rPr>
                <w:sz w:val="20"/>
                <w:szCs w:val="20"/>
              </w:rPr>
            </w:pPr>
          </w:p>
        </w:tc>
        <w:tc>
          <w:tcPr>
            <w:tcW w:w="1800" w:type="dxa"/>
            <w:tcBorders>
              <w:top w:val="nil"/>
              <w:left w:val="nil"/>
              <w:bottom w:val="nil"/>
              <w:right w:val="nil"/>
            </w:tcBorders>
            <w:shd w:val="clear" w:color="auto" w:fill="auto"/>
            <w:noWrap/>
            <w:tcMar>
              <w:left w:w="58" w:type="dxa"/>
              <w:right w:w="58" w:type="dxa"/>
            </w:tcMar>
            <w:vAlign w:val="center"/>
            <w:hideMark/>
          </w:tcPr>
          <w:p w14:paraId="0090E8F2" w14:textId="77777777" w:rsidR="001E2681" w:rsidRPr="001E2681" w:rsidRDefault="001E2681" w:rsidP="001E2681">
            <w:pPr>
              <w:spacing w:before="0" w:after="0"/>
              <w:rPr>
                <w:sz w:val="20"/>
                <w:szCs w:val="20"/>
              </w:rPr>
            </w:pPr>
          </w:p>
        </w:tc>
        <w:tc>
          <w:tcPr>
            <w:tcW w:w="1620" w:type="dxa"/>
            <w:tcBorders>
              <w:top w:val="nil"/>
              <w:left w:val="nil"/>
              <w:bottom w:val="nil"/>
              <w:right w:val="nil"/>
            </w:tcBorders>
            <w:shd w:val="clear" w:color="auto" w:fill="auto"/>
            <w:noWrap/>
            <w:tcMar>
              <w:left w:w="58" w:type="dxa"/>
              <w:right w:w="58" w:type="dxa"/>
            </w:tcMar>
            <w:vAlign w:val="center"/>
            <w:hideMark/>
          </w:tcPr>
          <w:p w14:paraId="524532F3" w14:textId="77777777" w:rsidR="001E2681" w:rsidRPr="001E2681" w:rsidRDefault="001E2681" w:rsidP="001E2681">
            <w:pPr>
              <w:spacing w:before="0" w:after="0"/>
              <w:rPr>
                <w:sz w:val="20"/>
                <w:szCs w:val="20"/>
              </w:rPr>
            </w:pPr>
          </w:p>
        </w:tc>
        <w:tc>
          <w:tcPr>
            <w:tcW w:w="1890" w:type="dxa"/>
            <w:tcBorders>
              <w:top w:val="nil"/>
              <w:left w:val="nil"/>
              <w:bottom w:val="nil"/>
              <w:right w:val="nil"/>
            </w:tcBorders>
            <w:shd w:val="clear" w:color="auto" w:fill="auto"/>
            <w:noWrap/>
            <w:tcMar>
              <w:left w:w="58" w:type="dxa"/>
              <w:right w:w="58" w:type="dxa"/>
            </w:tcMar>
            <w:vAlign w:val="center"/>
            <w:hideMark/>
          </w:tcPr>
          <w:p w14:paraId="43C08678" w14:textId="77777777" w:rsidR="001E2681" w:rsidRPr="001E2681" w:rsidRDefault="001E2681" w:rsidP="001E2681">
            <w:pPr>
              <w:spacing w:before="0" w:after="0"/>
              <w:rPr>
                <w:sz w:val="20"/>
                <w:szCs w:val="20"/>
              </w:rPr>
            </w:pPr>
          </w:p>
        </w:tc>
      </w:tr>
      <w:tr w:rsidR="001E2681" w:rsidRPr="001E2681" w14:paraId="1BB56AD3"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58B5631B" w14:textId="77777777" w:rsidR="001E2681" w:rsidRPr="001E2681" w:rsidRDefault="001E2681" w:rsidP="001E2681">
            <w:pPr>
              <w:spacing w:before="0" w:after="0"/>
              <w:rPr>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41A7ED5B"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Scaling Components</w:t>
            </w:r>
          </w:p>
        </w:tc>
        <w:tc>
          <w:tcPr>
            <w:tcW w:w="1800" w:type="dxa"/>
            <w:tcBorders>
              <w:top w:val="single" w:sz="4" w:space="0" w:color="auto"/>
              <w:left w:val="nil"/>
              <w:bottom w:val="single" w:sz="4" w:space="0" w:color="auto"/>
              <w:right w:val="single" w:sz="4" w:space="0" w:color="auto"/>
            </w:tcBorders>
            <w:shd w:val="clear" w:color="auto" w:fill="auto"/>
            <w:noWrap/>
            <w:tcMar>
              <w:left w:w="58" w:type="dxa"/>
              <w:right w:w="58" w:type="dxa"/>
            </w:tcMar>
            <w:vAlign w:val="center"/>
            <w:hideMark/>
          </w:tcPr>
          <w:p w14:paraId="6249A123"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Values</w:t>
            </w:r>
          </w:p>
        </w:tc>
        <w:tc>
          <w:tcPr>
            <w:tcW w:w="1800" w:type="dxa"/>
            <w:tcBorders>
              <w:top w:val="nil"/>
              <w:left w:val="nil"/>
              <w:bottom w:val="nil"/>
              <w:right w:val="nil"/>
            </w:tcBorders>
            <w:shd w:val="clear" w:color="auto" w:fill="auto"/>
            <w:noWrap/>
            <w:tcMar>
              <w:left w:w="58" w:type="dxa"/>
              <w:right w:w="58" w:type="dxa"/>
            </w:tcMar>
            <w:vAlign w:val="bottom"/>
            <w:hideMark/>
          </w:tcPr>
          <w:p w14:paraId="3DB796D4" w14:textId="77777777" w:rsidR="001E2681" w:rsidRPr="001E2681" w:rsidRDefault="001E2681" w:rsidP="001E2681">
            <w:pPr>
              <w:spacing w:before="0" w:after="0"/>
              <w:rPr>
                <w:rFonts w:ascii="Arial" w:hAnsi="Arial" w:cs="Arial"/>
                <w:b/>
                <w:bCs/>
                <w:sz w:val="20"/>
                <w:szCs w:val="20"/>
              </w:rPr>
            </w:pPr>
          </w:p>
        </w:tc>
        <w:tc>
          <w:tcPr>
            <w:tcW w:w="1620" w:type="dxa"/>
            <w:tcBorders>
              <w:top w:val="single" w:sz="4" w:space="0" w:color="auto"/>
              <w:left w:val="single" w:sz="4" w:space="0" w:color="auto"/>
              <w:bottom w:val="single" w:sz="4" w:space="0" w:color="auto"/>
              <w:right w:val="nil"/>
            </w:tcBorders>
            <w:shd w:val="clear" w:color="auto" w:fill="auto"/>
            <w:noWrap/>
            <w:tcMar>
              <w:left w:w="58" w:type="dxa"/>
              <w:right w:w="58" w:type="dxa"/>
            </w:tcMar>
            <w:vAlign w:val="center"/>
            <w:hideMark/>
          </w:tcPr>
          <w:p w14:paraId="4722180F"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Total Penalties</w:t>
            </w:r>
          </w:p>
        </w:tc>
        <w:tc>
          <w:tcPr>
            <w:tcW w:w="1890" w:type="dxa"/>
            <w:tcBorders>
              <w:top w:val="single" w:sz="4" w:space="0" w:color="auto"/>
              <w:left w:val="nil"/>
              <w:bottom w:val="single" w:sz="4" w:space="0" w:color="auto"/>
              <w:right w:val="single" w:sz="4" w:space="0" w:color="auto"/>
            </w:tcBorders>
            <w:shd w:val="clear" w:color="auto" w:fill="auto"/>
            <w:noWrap/>
            <w:tcMar>
              <w:left w:w="58" w:type="dxa"/>
              <w:right w:w="58" w:type="dxa"/>
            </w:tcMar>
            <w:vAlign w:val="center"/>
            <w:hideMark/>
          </w:tcPr>
          <w:p w14:paraId="0201D783"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-44,513,968</w:t>
            </w:r>
          </w:p>
        </w:tc>
      </w:tr>
      <w:tr w:rsidR="001E2681" w:rsidRPr="001E2681" w14:paraId="2B409176"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19CFD6E8" w14:textId="77777777" w:rsidR="001E2681" w:rsidRPr="001E2681" w:rsidRDefault="001E2681" w:rsidP="001E2681">
            <w:pPr>
              <w:spacing w:before="0" w:after="0"/>
              <w:jc w:val="center"/>
              <w:rPr>
                <w:rFonts w:ascii="Arial" w:hAnsi="Arial" w:cs="Arial"/>
                <w:sz w:val="20"/>
                <w:szCs w:val="20"/>
              </w:rPr>
            </w:pPr>
          </w:p>
        </w:tc>
        <w:tc>
          <w:tcPr>
            <w:tcW w:w="306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557439E1"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QBR Lowest Score</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66DD3E09" w14:textId="77777777" w:rsidR="001E2681" w:rsidRPr="001E2681" w:rsidRDefault="001E2681" w:rsidP="001E2681">
            <w:pPr>
              <w:spacing w:before="0" w:after="0"/>
              <w:jc w:val="right"/>
              <w:rPr>
                <w:rFonts w:ascii="Arial" w:hAnsi="Arial" w:cs="Arial"/>
                <w:sz w:val="20"/>
                <w:szCs w:val="20"/>
              </w:rPr>
            </w:pPr>
            <w:r>
              <w:rPr>
                <w:rFonts w:ascii="Arial" w:hAnsi="Arial" w:cs="Arial"/>
                <w:sz w:val="20"/>
                <w:szCs w:val="20"/>
              </w:rPr>
              <w:t>0</w:t>
            </w:r>
          </w:p>
        </w:tc>
        <w:tc>
          <w:tcPr>
            <w:tcW w:w="1800" w:type="dxa"/>
            <w:tcBorders>
              <w:top w:val="nil"/>
              <w:left w:val="nil"/>
              <w:bottom w:val="nil"/>
              <w:right w:val="nil"/>
            </w:tcBorders>
            <w:shd w:val="clear" w:color="auto" w:fill="auto"/>
            <w:noWrap/>
            <w:tcMar>
              <w:left w:w="58" w:type="dxa"/>
              <w:right w:w="58" w:type="dxa"/>
            </w:tcMar>
            <w:vAlign w:val="bottom"/>
            <w:hideMark/>
          </w:tcPr>
          <w:p w14:paraId="50A1BC2E" w14:textId="77777777" w:rsidR="001E2681" w:rsidRPr="001E2681" w:rsidRDefault="001E2681" w:rsidP="001E2681">
            <w:pPr>
              <w:spacing w:before="0" w:after="0"/>
              <w:jc w:val="right"/>
              <w:rPr>
                <w:rFonts w:ascii="Arial" w:hAnsi="Arial" w:cs="Arial"/>
                <w:sz w:val="20"/>
                <w:szCs w:val="20"/>
              </w:rPr>
            </w:pPr>
          </w:p>
        </w:tc>
        <w:tc>
          <w:tcPr>
            <w:tcW w:w="1620" w:type="dxa"/>
            <w:tcBorders>
              <w:top w:val="nil"/>
              <w:left w:val="single" w:sz="4" w:space="0" w:color="auto"/>
              <w:bottom w:val="nil"/>
              <w:right w:val="nil"/>
            </w:tcBorders>
            <w:shd w:val="clear" w:color="auto" w:fill="auto"/>
            <w:noWrap/>
            <w:tcMar>
              <w:left w:w="58" w:type="dxa"/>
              <w:right w:w="58" w:type="dxa"/>
            </w:tcMar>
            <w:vAlign w:val="center"/>
            <w:hideMark/>
          </w:tcPr>
          <w:p w14:paraId="67BD138A"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 Inpatient Revenue</w:t>
            </w:r>
          </w:p>
        </w:tc>
        <w:tc>
          <w:tcPr>
            <w:tcW w:w="1890" w:type="dxa"/>
            <w:tcBorders>
              <w:top w:val="nil"/>
              <w:left w:val="nil"/>
              <w:bottom w:val="nil"/>
              <w:right w:val="single" w:sz="4" w:space="0" w:color="auto"/>
            </w:tcBorders>
            <w:shd w:val="clear" w:color="auto" w:fill="auto"/>
            <w:noWrap/>
            <w:tcMar>
              <w:left w:w="58" w:type="dxa"/>
              <w:right w:w="58" w:type="dxa"/>
            </w:tcMar>
            <w:vAlign w:val="center"/>
            <w:hideMark/>
          </w:tcPr>
          <w:p w14:paraId="5BA38560"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-0.46%</w:t>
            </w:r>
          </w:p>
        </w:tc>
      </w:tr>
      <w:tr w:rsidR="001E2681" w:rsidRPr="001E2681" w14:paraId="25870C93"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671930AF" w14:textId="77777777" w:rsidR="001E2681" w:rsidRPr="001E2681" w:rsidRDefault="001E2681" w:rsidP="001E2681">
            <w:pPr>
              <w:spacing w:before="0" w:after="0"/>
              <w:jc w:val="center"/>
              <w:rPr>
                <w:rFonts w:ascii="Arial" w:hAnsi="Arial" w:cs="Arial"/>
                <w:sz w:val="20"/>
                <w:szCs w:val="20"/>
              </w:rPr>
            </w:pPr>
          </w:p>
        </w:tc>
        <w:tc>
          <w:tcPr>
            <w:tcW w:w="306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4C6D9B17"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QBR Max Penalty</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23E3A251" w14:textId="77777777" w:rsidR="001E2681" w:rsidRPr="001E2681" w:rsidRDefault="001E2681" w:rsidP="001E2681">
            <w:pPr>
              <w:spacing w:before="0" w:after="0"/>
              <w:jc w:val="right"/>
              <w:rPr>
                <w:rFonts w:ascii="Arial" w:hAnsi="Arial" w:cs="Arial"/>
                <w:sz w:val="20"/>
                <w:szCs w:val="20"/>
              </w:rPr>
            </w:pPr>
            <w:r>
              <w:rPr>
                <w:rFonts w:ascii="Arial" w:hAnsi="Arial" w:cs="Arial"/>
                <w:sz w:val="20"/>
                <w:szCs w:val="20"/>
              </w:rPr>
              <w:t>-2%</w:t>
            </w:r>
          </w:p>
        </w:tc>
        <w:tc>
          <w:tcPr>
            <w:tcW w:w="1800" w:type="dxa"/>
            <w:tcBorders>
              <w:top w:val="nil"/>
              <w:left w:val="nil"/>
              <w:bottom w:val="nil"/>
              <w:right w:val="nil"/>
            </w:tcBorders>
            <w:shd w:val="clear" w:color="auto" w:fill="auto"/>
            <w:noWrap/>
            <w:tcMar>
              <w:left w:w="58" w:type="dxa"/>
              <w:right w:w="58" w:type="dxa"/>
            </w:tcMar>
            <w:vAlign w:val="bottom"/>
            <w:hideMark/>
          </w:tcPr>
          <w:p w14:paraId="6ED6B28C" w14:textId="77777777" w:rsidR="001E2681" w:rsidRPr="001E2681" w:rsidRDefault="001E2681" w:rsidP="001E2681">
            <w:pPr>
              <w:spacing w:before="0" w:after="0"/>
              <w:jc w:val="right"/>
              <w:rPr>
                <w:rFonts w:ascii="Arial" w:hAnsi="Arial" w:cs="Arial"/>
                <w:sz w:val="20"/>
                <w:szCs w:val="20"/>
              </w:rPr>
            </w:pPr>
          </w:p>
        </w:tc>
        <w:tc>
          <w:tcPr>
            <w:tcW w:w="1620" w:type="dxa"/>
            <w:tcBorders>
              <w:top w:val="single" w:sz="4" w:space="0" w:color="auto"/>
              <w:left w:val="single" w:sz="4" w:space="0" w:color="auto"/>
              <w:bottom w:val="single" w:sz="4" w:space="0" w:color="auto"/>
              <w:right w:val="nil"/>
            </w:tcBorders>
            <w:shd w:val="clear" w:color="auto" w:fill="auto"/>
            <w:noWrap/>
            <w:tcMar>
              <w:left w:w="58" w:type="dxa"/>
              <w:right w:w="58" w:type="dxa"/>
            </w:tcMar>
            <w:vAlign w:val="center"/>
            <w:hideMark/>
          </w:tcPr>
          <w:p w14:paraId="3D8C9CBF"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Total rewards</w:t>
            </w:r>
          </w:p>
        </w:tc>
        <w:tc>
          <w:tcPr>
            <w:tcW w:w="1890" w:type="dxa"/>
            <w:tcBorders>
              <w:top w:val="single" w:sz="4" w:space="0" w:color="auto"/>
              <w:left w:val="nil"/>
              <w:bottom w:val="single" w:sz="4" w:space="0" w:color="auto"/>
              <w:right w:val="single" w:sz="4" w:space="0" w:color="auto"/>
            </w:tcBorders>
            <w:shd w:val="clear" w:color="auto" w:fill="auto"/>
            <w:noWrap/>
            <w:tcMar>
              <w:left w:w="58" w:type="dxa"/>
              <w:right w:w="58" w:type="dxa"/>
            </w:tcMar>
            <w:vAlign w:val="center"/>
            <w:hideMark/>
          </w:tcPr>
          <w:p w14:paraId="566616D7"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4,480,946</w:t>
            </w:r>
          </w:p>
        </w:tc>
      </w:tr>
      <w:tr w:rsidR="001E2681" w:rsidRPr="001E2681" w14:paraId="01BB9881"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48FA2E68" w14:textId="77777777" w:rsidR="001E2681" w:rsidRPr="001E2681" w:rsidRDefault="001E2681" w:rsidP="001E2681">
            <w:pPr>
              <w:spacing w:before="0" w:after="0"/>
              <w:jc w:val="center"/>
              <w:rPr>
                <w:rFonts w:ascii="Arial" w:hAnsi="Arial" w:cs="Arial"/>
                <w:sz w:val="20"/>
                <w:szCs w:val="20"/>
              </w:rPr>
            </w:pPr>
          </w:p>
        </w:tc>
        <w:tc>
          <w:tcPr>
            <w:tcW w:w="306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40D31ECD"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QBR Highest Score</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7E518233" w14:textId="77777777" w:rsidR="001E2681" w:rsidRPr="001E2681" w:rsidRDefault="001E2681" w:rsidP="001E2681">
            <w:pPr>
              <w:spacing w:before="0" w:after="0"/>
              <w:jc w:val="right"/>
              <w:rPr>
                <w:rFonts w:ascii="Arial" w:hAnsi="Arial" w:cs="Arial"/>
                <w:sz w:val="20"/>
                <w:szCs w:val="20"/>
              </w:rPr>
            </w:pPr>
            <w:r>
              <w:rPr>
                <w:rFonts w:ascii="Arial" w:hAnsi="Arial" w:cs="Arial"/>
                <w:sz w:val="20"/>
                <w:szCs w:val="20"/>
              </w:rPr>
              <w:t>80%</w:t>
            </w:r>
          </w:p>
        </w:tc>
        <w:tc>
          <w:tcPr>
            <w:tcW w:w="1800" w:type="dxa"/>
            <w:tcBorders>
              <w:top w:val="nil"/>
              <w:left w:val="nil"/>
              <w:bottom w:val="nil"/>
              <w:right w:val="nil"/>
            </w:tcBorders>
            <w:shd w:val="clear" w:color="auto" w:fill="auto"/>
            <w:noWrap/>
            <w:tcMar>
              <w:left w:w="58" w:type="dxa"/>
              <w:right w:w="58" w:type="dxa"/>
            </w:tcMar>
            <w:vAlign w:val="bottom"/>
            <w:hideMark/>
          </w:tcPr>
          <w:p w14:paraId="17FCD5AB" w14:textId="77777777" w:rsidR="001E2681" w:rsidRPr="001E2681" w:rsidRDefault="001E2681" w:rsidP="001E2681">
            <w:pPr>
              <w:spacing w:before="0" w:after="0"/>
              <w:jc w:val="right"/>
              <w:rPr>
                <w:rFonts w:ascii="Arial" w:hAnsi="Arial" w:cs="Arial"/>
                <w:sz w:val="20"/>
                <w:szCs w:val="20"/>
              </w:rPr>
            </w:pPr>
          </w:p>
        </w:tc>
        <w:tc>
          <w:tcPr>
            <w:tcW w:w="1620" w:type="dxa"/>
            <w:tcBorders>
              <w:top w:val="nil"/>
              <w:left w:val="single" w:sz="4" w:space="0" w:color="auto"/>
              <w:bottom w:val="single" w:sz="4" w:space="0" w:color="auto"/>
              <w:right w:val="nil"/>
            </w:tcBorders>
            <w:shd w:val="clear" w:color="auto" w:fill="auto"/>
            <w:noWrap/>
            <w:tcMar>
              <w:left w:w="58" w:type="dxa"/>
              <w:right w:w="58" w:type="dxa"/>
            </w:tcMar>
            <w:vAlign w:val="center"/>
            <w:hideMark/>
          </w:tcPr>
          <w:p w14:paraId="599DAD67" w14:textId="77777777" w:rsidR="001E2681" w:rsidRPr="001E2681" w:rsidRDefault="001E2681" w:rsidP="001E2681">
            <w:pPr>
              <w:spacing w:before="0" w:after="0"/>
              <w:rPr>
                <w:rFonts w:ascii="Arial" w:hAnsi="Arial" w:cs="Arial"/>
                <w:b/>
                <w:bCs/>
                <w:sz w:val="20"/>
                <w:szCs w:val="20"/>
              </w:rPr>
            </w:pPr>
            <w:r w:rsidRPr="001E2681">
              <w:rPr>
                <w:rFonts w:ascii="Arial" w:hAnsi="Arial" w:cs="Arial"/>
                <w:b/>
                <w:bCs/>
                <w:sz w:val="20"/>
                <w:szCs w:val="20"/>
              </w:rPr>
              <w:t>% Inpatient revenue</w:t>
            </w:r>
          </w:p>
        </w:tc>
        <w:tc>
          <w:tcPr>
            <w:tcW w:w="189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1122FAC" w14:textId="77777777" w:rsidR="001E2681" w:rsidRPr="001E2681" w:rsidRDefault="001E2681" w:rsidP="001E2681">
            <w:pPr>
              <w:spacing w:before="0" w:after="0"/>
              <w:jc w:val="center"/>
              <w:rPr>
                <w:rFonts w:ascii="Arial" w:hAnsi="Arial" w:cs="Arial"/>
                <w:sz w:val="20"/>
                <w:szCs w:val="20"/>
              </w:rPr>
            </w:pPr>
            <w:r w:rsidRPr="001E2681">
              <w:rPr>
                <w:rFonts w:ascii="Arial" w:hAnsi="Arial" w:cs="Arial"/>
                <w:sz w:val="20"/>
                <w:szCs w:val="20"/>
              </w:rPr>
              <w:t>0.05%</w:t>
            </w:r>
          </w:p>
        </w:tc>
      </w:tr>
      <w:tr w:rsidR="001E2681" w:rsidRPr="001E2681" w14:paraId="5D6F443A"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14D63720" w14:textId="77777777" w:rsidR="001E2681" w:rsidRPr="001E2681" w:rsidRDefault="001E2681" w:rsidP="001E2681">
            <w:pPr>
              <w:spacing w:before="0" w:after="0"/>
              <w:jc w:val="center"/>
              <w:rPr>
                <w:rFonts w:ascii="Arial" w:hAnsi="Arial" w:cs="Arial"/>
                <w:sz w:val="20"/>
                <w:szCs w:val="20"/>
              </w:rPr>
            </w:pPr>
          </w:p>
        </w:tc>
        <w:tc>
          <w:tcPr>
            <w:tcW w:w="306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790D8B2F"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QBR Max Reward</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17A182A3" w14:textId="77777777" w:rsidR="001E2681" w:rsidRPr="001E2681" w:rsidRDefault="001E2681" w:rsidP="001E2681">
            <w:pPr>
              <w:spacing w:before="0" w:after="0"/>
              <w:jc w:val="right"/>
              <w:rPr>
                <w:rFonts w:ascii="Arial" w:hAnsi="Arial" w:cs="Arial"/>
                <w:sz w:val="20"/>
                <w:szCs w:val="20"/>
              </w:rPr>
            </w:pPr>
            <w:r>
              <w:rPr>
                <w:rFonts w:ascii="Arial" w:hAnsi="Arial" w:cs="Arial"/>
                <w:sz w:val="20"/>
                <w:szCs w:val="20"/>
              </w:rPr>
              <w:t>2%</w:t>
            </w:r>
          </w:p>
        </w:tc>
        <w:tc>
          <w:tcPr>
            <w:tcW w:w="1800" w:type="dxa"/>
            <w:tcBorders>
              <w:top w:val="nil"/>
              <w:left w:val="nil"/>
              <w:bottom w:val="nil"/>
              <w:right w:val="nil"/>
            </w:tcBorders>
            <w:shd w:val="clear" w:color="auto" w:fill="auto"/>
            <w:noWrap/>
            <w:tcMar>
              <w:left w:w="58" w:type="dxa"/>
              <w:right w:w="58" w:type="dxa"/>
            </w:tcMar>
            <w:vAlign w:val="center"/>
            <w:hideMark/>
          </w:tcPr>
          <w:p w14:paraId="2A1D64BC" w14:textId="77777777" w:rsidR="001E2681" w:rsidRPr="001E2681" w:rsidRDefault="001E2681" w:rsidP="001E2681">
            <w:pPr>
              <w:spacing w:before="0" w:after="0"/>
              <w:jc w:val="right"/>
              <w:rPr>
                <w:rFonts w:ascii="Arial" w:hAnsi="Arial" w:cs="Arial"/>
                <w:sz w:val="20"/>
                <w:szCs w:val="20"/>
              </w:rPr>
            </w:pPr>
          </w:p>
        </w:tc>
        <w:tc>
          <w:tcPr>
            <w:tcW w:w="1620" w:type="dxa"/>
            <w:tcBorders>
              <w:top w:val="nil"/>
              <w:left w:val="nil"/>
              <w:bottom w:val="nil"/>
              <w:right w:val="nil"/>
            </w:tcBorders>
            <w:shd w:val="clear" w:color="auto" w:fill="auto"/>
            <w:noWrap/>
            <w:tcMar>
              <w:left w:w="58" w:type="dxa"/>
              <w:right w:w="58" w:type="dxa"/>
            </w:tcMar>
            <w:vAlign w:val="center"/>
            <w:hideMark/>
          </w:tcPr>
          <w:p w14:paraId="44AE38A5" w14:textId="77777777" w:rsidR="001E2681" w:rsidRPr="001E2681" w:rsidRDefault="001E2681" w:rsidP="001E2681">
            <w:pPr>
              <w:spacing w:before="0" w:after="0"/>
              <w:rPr>
                <w:sz w:val="20"/>
                <w:szCs w:val="20"/>
              </w:rPr>
            </w:pPr>
          </w:p>
        </w:tc>
        <w:tc>
          <w:tcPr>
            <w:tcW w:w="1890" w:type="dxa"/>
            <w:tcBorders>
              <w:top w:val="nil"/>
              <w:left w:val="nil"/>
              <w:bottom w:val="nil"/>
              <w:right w:val="nil"/>
            </w:tcBorders>
            <w:shd w:val="clear" w:color="auto" w:fill="auto"/>
            <w:noWrap/>
            <w:tcMar>
              <w:left w:w="58" w:type="dxa"/>
              <w:right w:w="58" w:type="dxa"/>
            </w:tcMar>
            <w:vAlign w:val="center"/>
            <w:hideMark/>
          </w:tcPr>
          <w:p w14:paraId="6ABFDC31" w14:textId="77777777" w:rsidR="001E2681" w:rsidRPr="001E2681" w:rsidRDefault="001E2681" w:rsidP="001E2681">
            <w:pPr>
              <w:spacing w:before="0" w:after="0"/>
              <w:rPr>
                <w:sz w:val="20"/>
                <w:szCs w:val="20"/>
              </w:rPr>
            </w:pPr>
          </w:p>
        </w:tc>
      </w:tr>
      <w:tr w:rsidR="001E2681" w:rsidRPr="001E2681" w14:paraId="64BC1741" w14:textId="77777777" w:rsidTr="001E2681">
        <w:trPr>
          <w:trHeight w:val="315"/>
        </w:trPr>
        <w:tc>
          <w:tcPr>
            <w:tcW w:w="720" w:type="dxa"/>
            <w:tcBorders>
              <w:top w:val="nil"/>
              <w:left w:val="nil"/>
              <w:bottom w:val="nil"/>
              <w:right w:val="nil"/>
            </w:tcBorders>
            <w:shd w:val="clear" w:color="auto" w:fill="auto"/>
            <w:noWrap/>
            <w:tcMar>
              <w:left w:w="58" w:type="dxa"/>
              <w:right w:w="58" w:type="dxa"/>
            </w:tcMar>
            <w:vAlign w:val="center"/>
            <w:hideMark/>
          </w:tcPr>
          <w:p w14:paraId="10994BA6" w14:textId="77777777" w:rsidR="001E2681" w:rsidRPr="001E2681" w:rsidRDefault="001E2681" w:rsidP="001E2681">
            <w:pPr>
              <w:spacing w:before="0" w:after="0"/>
              <w:rPr>
                <w:sz w:val="20"/>
                <w:szCs w:val="20"/>
              </w:rPr>
            </w:pPr>
          </w:p>
        </w:tc>
        <w:tc>
          <w:tcPr>
            <w:tcW w:w="3060" w:type="dxa"/>
            <w:tcBorders>
              <w:top w:val="nil"/>
              <w:left w:val="single" w:sz="4" w:space="0" w:color="auto"/>
              <w:bottom w:val="single" w:sz="4" w:space="0" w:color="auto"/>
              <w:right w:val="single" w:sz="4" w:space="0" w:color="auto"/>
            </w:tcBorders>
            <w:shd w:val="clear" w:color="auto" w:fill="auto"/>
            <w:noWrap/>
            <w:tcMar>
              <w:left w:w="58" w:type="dxa"/>
              <w:right w:w="58" w:type="dxa"/>
            </w:tcMar>
            <w:vAlign w:val="center"/>
            <w:hideMark/>
          </w:tcPr>
          <w:p w14:paraId="63F7EC54" w14:textId="77777777" w:rsidR="001E2681" w:rsidRPr="001E2681" w:rsidRDefault="001E2681" w:rsidP="001E2681">
            <w:pPr>
              <w:spacing w:before="0" w:after="0"/>
              <w:rPr>
                <w:rFonts w:ascii="Arial" w:hAnsi="Arial" w:cs="Arial"/>
                <w:sz w:val="20"/>
                <w:szCs w:val="20"/>
              </w:rPr>
            </w:pPr>
            <w:r w:rsidRPr="001E2681">
              <w:rPr>
                <w:rFonts w:ascii="Arial" w:hAnsi="Arial" w:cs="Arial"/>
                <w:sz w:val="20"/>
                <w:szCs w:val="20"/>
              </w:rPr>
              <w:t>QBR  Threshold</w:t>
            </w:r>
          </w:p>
        </w:tc>
        <w:tc>
          <w:tcPr>
            <w:tcW w:w="180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14:paraId="3932483B" w14:textId="77777777" w:rsidR="001E2681" w:rsidRPr="001E2681" w:rsidRDefault="001E2681" w:rsidP="001E2681">
            <w:pPr>
              <w:spacing w:before="0" w:after="0"/>
              <w:jc w:val="right"/>
              <w:rPr>
                <w:rFonts w:ascii="Arial" w:hAnsi="Arial" w:cs="Arial"/>
                <w:sz w:val="20"/>
                <w:szCs w:val="20"/>
              </w:rPr>
            </w:pPr>
            <w:r>
              <w:rPr>
                <w:rFonts w:ascii="Arial" w:hAnsi="Arial" w:cs="Arial"/>
                <w:sz w:val="20"/>
                <w:szCs w:val="20"/>
              </w:rPr>
              <w:t>41%</w:t>
            </w:r>
          </w:p>
        </w:tc>
        <w:tc>
          <w:tcPr>
            <w:tcW w:w="1800" w:type="dxa"/>
            <w:tcBorders>
              <w:top w:val="nil"/>
              <w:left w:val="nil"/>
              <w:bottom w:val="nil"/>
              <w:right w:val="nil"/>
            </w:tcBorders>
            <w:shd w:val="clear" w:color="auto" w:fill="auto"/>
            <w:noWrap/>
            <w:tcMar>
              <w:left w:w="58" w:type="dxa"/>
              <w:right w:w="58" w:type="dxa"/>
            </w:tcMar>
            <w:vAlign w:val="center"/>
            <w:hideMark/>
          </w:tcPr>
          <w:p w14:paraId="5909C09F" w14:textId="77777777" w:rsidR="001E2681" w:rsidRPr="001E2681" w:rsidRDefault="001E2681" w:rsidP="001E2681">
            <w:pPr>
              <w:spacing w:before="0" w:after="0"/>
              <w:jc w:val="right"/>
              <w:rPr>
                <w:rFonts w:ascii="Arial" w:hAnsi="Arial" w:cs="Arial"/>
                <w:sz w:val="20"/>
                <w:szCs w:val="20"/>
              </w:rPr>
            </w:pPr>
          </w:p>
        </w:tc>
        <w:tc>
          <w:tcPr>
            <w:tcW w:w="1620" w:type="dxa"/>
            <w:tcBorders>
              <w:top w:val="nil"/>
              <w:left w:val="nil"/>
              <w:bottom w:val="nil"/>
              <w:right w:val="nil"/>
            </w:tcBorders>
            <w:shd w:val="clear" w:color="auto" w:fill="auto"/>
            <w:noWrap/>
            <w:tcMar>
              <w:left w:w="58" w:type="dxa"/>
              <w:right w:w="58" w:type="dxa"/>
            </w:tcMar>
            <w:vAlign w:val="center"/>
            <w:hideMark/>
          </w:tcPr>
          <w:p w14:paraId="662F6EA6" w14:textId="77777777" w:rsidR="001E2681" w:rsidRPr="001E2681" w:rsidRDefault="001E2681" w:rsidP="001E2681">
            <w:pPr>
              <w:spacing w:before="0" w:after="0"/>
              <w:rPr>
                <w:sz w:val="20"/>
                <w:szCs w:val="20"/>
              </w:rPr>
            </w:pPr>
          </w:p>
        </w:tc>
        <w:tc>
          <w:tcPr>
            <w:tcW w:w="1890" w:type="dxa"/>
            <w:tcBorders>
              <w:top w:val="nil"/>
              <w:left w:val="nil"/>
              <w:bottom w:val="nil"/>
              <w:right w:val="nil"/>
            </w:tcBorders>
            <w:shd w:val="clear" w:color="auto" w:fill="auto"/>
            <w:noWrap/>
            <w:tcMar>
              <w:left w:w="58" w:type="dxa"/>
              <w:right w:w="58" w:type="dxa"/>
            </w:tcMar>
            <w:vAlign w:val="center"/>
            <w:hideMark/>
          </w:tcPr>
          <w:p w14:paraId="44B4BCCE" w14:textId="77777777" w:rsidR="001E2681" w:rsidRPr="001E2681" w:rsidRDefault="001E2681" w:rsidP="001E2681">
            <w:pPr>
              <w:spacing w:before="0" w:after="0"/>
              <w:rPr>
                <w:sz w:val="20"/>
                <w:szCs w:val="20"/>
              </w:rPr>
            </w:pPr>
          </w:p>
        </w:tc>
      </w:tr>
    </w:tbl>
    <w:p w14:paraId="1ED51273" w14:textId="77777777" w:rsidR="00030A10" w:rsidRDefault="00030A10">
      <w:pPr>
        <w:pStyle w:val="Heading1"/>
      </w:pPr>
    </w:p>
    <w:p w14:paraId="6F318696" w14:textId="77777777" w:rsidR="00030A10" w:rsidRDefault="00030A10">
      <w:pPr>
        <w:pStyle w:val="Heading1"/>
      </w:pPr>
    </w:p>
    <w:sectPr w:rsidR="00030A10">
      <w:pgSz w:w="12240" w:h="15840"/>
      <w:pgMar w:top="576" w:right="1290" w:bottom="576" w:left="245"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66EA7" w14:textId="77777777" w:rsidR="00730E6B" w:rsidRDefault="00730E6B">
      <w:pPr>
        <w:spacing w:before="0" w:after="0"/>
      </w:pPr>
      <w:r>
        <w:separator/>
      </w:r>
    </w:p>
  </w:endnote>
  <w:endnote w:type="continuationSeparator" w:id="0">
    <w:p w14:paraId="7E66D70D" w14:textId="77777777" w:rsidR="00730E6B" w:rsidRDefault="00730E6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E8AB7" w14:textId="77777777" w:rsidR="005F72FD" w:rsidRDefault="005F72FD">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p w14:paraId="467C96A0" w14:textId="77777777" w:rsidR="005F72FD" w:rsidRDefault="005F72FD">
    <w:pPr>
      <w:pBdr>
        <w:top w:val="nil"/>
        <w:left w:val="nil"/>
        <w:bottom w:val="nil"/>
        <w:right w:val="nil"/>
        <w:between w:val="nil"/>
      </w:pBdr>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2B1E3" w14:textId="77777777" w:rsidR="005F72FD" w:rsidRDefault="005F72FD">
    <w:pPr>
      <w:pBdr>
        <w:top w:val="nil"/>
        <w:left w:val="nil"/>
        <w:bottom w:val="nil"/>
        <w:right w:val="nil"/>
        <w:between w:val="nil"/>
      </w:pBdr>
      <w:jc w:val="center"/>
      <w:rPr>
        <w:color w:val="000000"/>
      </w:rPr>
    </w:pPr>
  </w:p>
  <w:p w14:paraId="025F1C79" w14:textId="77777777" w:rsidR="005F72FD" w:rsidRDefault="005F72FD">
    <w:pPr>
      <w:pBdr>
        <w:top w:val="nil"/>
        <w:left w:val="nil"/>
        <w:bottom w:val="nil"/>
        <w:right w:val="nil"/>
        <w:between w:val="nil"/>
      </w:pBd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F04A9" w14:textId="77777777" w:rsidR="00A56235" w:rsidRDefault="00A56235">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2263B5">
      <w:rPr>
        <w:noProof/>
        <w:color w:val="000000"/>
      </w:rPr>
      <w:t>2</w:t>
    </w:r>
    <w:r>
      <w:rPr>
        <w:color w:val="000000"/>
      </w:rPr>
      <w:fldChar w:fldCharType="end"/>
    </w:r>
  </w:p>
  <w:p w14:paraId="1022B88A" w14:textId="77777777" w:rsidR="00A56235" w:rsidRDefault="00A56235">
    <w:pPr>
      <w:pBdr>
        <w:top w:val="nil"/>
        <w:left w:val="nil"/>
        <w:bottom w:val="nil"/>
        <w:right w:val="nil"/>
        <w:between w:val="nil"/>
      </w:pBd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19F8C" w14:textId="77777777" w:rsidR="005F72FD" w:rsidRDefault="005F72FD">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2263B5">
      <w:rPr>
        <w:noProof/>
        <w:color w:val="000000"/>
      </w:rPr>
      <w:t>4</w:t>
    </w:r>
    <w:r>
      <w:rPr>
        <w:color w:val="000000"/>
      </w:rPr>
      <w:fldChar w:fldCharType="end"/>
    </w:r>
  </w:p>
  <w:p w14:paraId="2672BDBA" w14:textId="77777777" w:rsidR="005F72FD" w:rsidRDefault="005F72FD">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DE6F9" w14:textId="77777777" w:rsidR="00730E6B" w:rsidRDefault="00730E6B">
      <w:pPr>
        <w:spacing w:before="0" w:after="0"/>
      </w:pPr>
      <w:r>
        <w:separator/>
      </w:r>
    </w:p>
  </w:footnote>
  <w:footnote w:type="continuationSeparator" w:id="0">
    <w:p w14:paraId="495252C5" w14:textId="77777777" w:rsidR="00730E6B" w:rsidRDefault="00730E6B">
      <w:pPr>
        <w:spacing w:before="0" w:after="0"/>
      </w:pPr>
      <w:r>
        <w:continuationSeparator/>
      </w:r>
    </w:p>
  </w:footnote>
  <w:footnote w:id="1">
    <w:p w14:paraId="3F750ED5" w14:textId="073418A6" w:rsidR="005F72FD" w:rsidRDefault="005F72FD">
      <w:pPr>
        <w:pStyle w:val="FootnoteText"/>
      </w:pPr>
      <w:r>
        <w:rPr>
          <w:rStyle w:val="FootnoteReference"/>
        </w:rPr>
        <w:footnoteRef/>
      </w:r>
      <w:r>
        <w:t xml:space="preserve"> The notification of exemption may be found in Appendix I</w:t>
      </w:r>
    </w:p>
  </w:footnote>
  <w:footnote w:id="2">
    <w:p w14:paraId="3C2EBFF1" w14:textId="77777777" w:rsidR="005F72FD" w:rsidRDefault="005F72FD">
      <w:pPr>
        <w:spacing w:before="0" w:after="0"/>
        <w:rPr>
          <w:sz w:val="20"/>
          <w:szCs w:val="20"/>
          <w:highlight w:val="yellow"/>
        </w:rPr>
      </w:pPr>
      <w:r>
        <w:rPr>
          <w:vertAlign w:val="superscript"/>
        </w:rPr>
        <w:footnoteRef/>
      </w:r>
      <w:r>
        <w:rPr>
          <w:sz w:val="20"/>
          <w:szCs w:val="20"/>
        </w:rPr>
        <w:t xml:space="preserve"> For more information on the VBP Exemption (granted annually by CMMI), please see Appendix I.</w:t>
      </w:r>
    </w:p>
  </w:footnote>
  <w:footnote w:id="3">
    <w:p w14:paraId="68865B36" w14:textId="71884362" w:rsidR="005F72FD" w:rsidRPr="006E3024" w:rsidRDefault="005F72FD">
      <w:pPr>
        <w:spacing w:before="0" w:after="0"/>
        <w:rPr>
          <w:sz w:val="18"/>
          <w:szCs w:val="18"/>
        </w:rPr>
      </w:pPr>
      <w:r>
        <w:rPr>
          <w:vertAlign w:val="superscript"/>
        </w:rPr>
        <w:footnoteRef/>
      </w:r>
      <w:r>
        <w:rPr>
          <w:sz w:val="20"/>
          <w:szCs w:val="20"/>
        </w:rPr>
        <w:t xml:space="preserve"> </w:t>
      </w:r>
      <w:r w:rsidRPr="006E3024">
        <w:rPr>
          <w:sz w:val="18"/>
          <w:szCs w:val="18"/>
        </w:rPr>
        <w:t xml:space="preserve">For more information on the VBP program, see </w:t>
      </w:r>
      <w:hyperlink r:id="rId1" w:history="1">
        <w:r w:rsidRPr="00E24D1E">
          <w:rPr>
            <w:rStyle w:val="Hyperlink"/>
            <w:sz w:val="18"/>
            <w:szCs w:val="18"/>
          </w:rPr>
          <w:t xml:space="preserve">https://www.cms.gov/Medicare/Quality-Initiatives-Patient-Assessment-Instruments/Value-Based-Programs/HVBP/Hospital-Value-Based-Purchasing.html,  </w:t>
        </w:r>
      </w:hyperlink>
      <w:r w:rsidRPr="006E3024">
        <w:rPr>
          <w:color w:val="1155CC"/>
          <w:sz w:val="18"/>
          <w:szCs w:val="18"/>
          <w:u w:val="single"/>
        </w:rPr>
        <w:t>last accessed 10/28/19.</w:t>
      </w:r>
    </w:p>
  </w:footnote>
  <w:footnote w:id="4">
    <w:p w14:paraId="05509E37" w14:textId="1105B626" w:rsidR="005F72FD" w:rsidRPr="006E3024" w:rsidRDefault="005F72FD">
      <w:pPr>
        <w:pStyle w:val="FootnoteText"/>
        <w:rPr>
          <w:sz w:val="18"/>
          <w:szCs w:val="18"/>
        </w:rPr>
      </w:pPr>
      <w:r w:rsidRPr="006E3024">
        <w:rPr>
          <w:rStyle w:val="FootnoteReference"/>
          <w:sz w:val="18"/>
          <w:szCs w:val="18"/>
        </w:rPr>
        <w:footnoteRef/>
      </w:r>
      <w:r w:rsidRPr="006E3024">
        <w:rPr>
          <w:sz w:val="18"/>
          <w:szCs w:val="18"/>
        </w:rPr>
        <w:t xml:space="preserve"> During the coming year, staff will work with contractor support to continue developing an all-cause, all-condition 30-day mortality measure applicable to all payers, expanding further the QBR mortality measure’s potential to incentivize better outcomes outside the hospital walls.</w:t>
      </w:r>
    </w:p>
  </w:footnote>
  <w:footnote w:id="5">
    <w:p w14:paraId="69F81CF8" w14:textId="77777777" w:rsidR="005F72FD" w:rsidRPr="006E3024" w:rsidRDefault="005F72FD" w:rsidP="00E62C33">
      <w:pPr>
        <w:spacing w:before="0" w:after="0"/>
        <w:rPr>
          <w:sz w:val="18"/>
          <w:szCs w:val="18"/>
        </w:rPr>
      </w:pPr>
      <w:r w:rsidRPr="006E3024">
        <w:rPr>
          <w:sz w:val="18"/>
          <w:szCs w:val="18"/>
          <w:vertAlign w:val="superscript"/>
        </w:rPr>
        <w:footnoteRef/>
      </w:r>
      <w:r w:rsidRPr="006E3024">
        <w:rPr>
          <w:sz w:val="18"/>
          <w:szCs w:val="18"/>
        </w:rPr>
        <w:t xml:space="preserve"> In the fall of 2017, HSCRC Commissioners and staff support conducted several strategic planning sessions to outline priorities and guiding principles for the upcoming Total Cost of Care Model.  Based on these sessions, the HSCRC developed a Critical Action Plan that delineates timelines for review and possible reform of financial and quality methodologies, as well as other staff operations.</w:t>
      </w:r>
    </w:p>
  </w:footnote>
  <w:footnote w:id="6">
    <w:p w14:paraId="6E7C4BA7" w14:textId="77777777" w:rsidR="005F72FD" w:rsidRPr="006E3024" w:rsidRDefault="005F72FD" w:rsidP="00E62C33">
      <w:pPr>
        <w:spacing w:before="0" w:after="0"/>
        <w:rPr>
          <w:sz w:val="18"/>
          <w:szCs w:val="18"/>
        </w:rPr>
      </w:pPr>
      <w:r w:rsidRPr="006E3024">
        <w:rPr>
          <w:sz w:val="18"/>
          <w:szCs w:val="18"/>
          <w:vertAlign w:val="superscript"/>
        </w:rPr>
        <w:footnoteRef/>
      </w:r>
      <w:r w:rsidRPr="006E3024">
        <w:rPr>
          <w:sz w:val="18"/>
          <w:szCs w:val="18"/>
        </w:rPr>
        <w:t xml:space="preserve"> Maryland has implemented an efficiency measure in the Population-Based Revenue system, based on a calculation of potentially avoidable utilization (PAU), but it has not made efficiency part of its core quality programs as a domain because the revenue system itself incentivizes improved efficiency.  PAU is currently defined as the costs of readmissions and a subset of admissions defined by the Agency for Healthcare Research and Quality Prevention Quality Indicators (PQIs). </w:t>
      </w:r>
    </w:p>
  </w:footnote>
  <w:footnote w:id="7">
    <w:p w14:paraId="05661E95" w14:textId="77777777" w:rsidR="005F72FD" w:rsidRDefault="005F72FD">
      <w:pPr>
        <w:shd w:val="clear" w:color="auto" w:fill="FFFFFF"/>
        <w:spacing w:before="0" w:after="0"/>
        <w:rPr>
          <w:sz w:val="20"/>
          <w:szCs w:val="20"/>
        </w:rPr>
      </w:pPr>
      <w:r w:rsidRPr="006E3024">
        <w:rPr>
          <w:sz w:val="18"/>
          <w:szCs w:val="18"/>
          <w:vertAlign w:val="superscript"/>
        </w:rPr>
        <w:footnoteRef/>
      </w:r>
      <w:r w:rsidRPr="006E3024">
        <w:rPr>
          <w:sz w:val="18"/>
          <w:szCs w:val="18"/>
        </w:rPr>
        <w:t xml:space="preserve"> Details of CMS VBP measures may be found at: </w:t>
      </w:r>
      <w:hyperlink r:id="rId2">
        <w:r w:rsidRPr="006E3024">
          <w:rPr>
            <w:color w:val="1155CC"/>
            <w:sz w:val="18"/>
            <w:szCs w:val="18"/>
            <w:u w:val="single"/>
          </w:rPr>
          <w:t>https://www.cms.gov/Medicare/Quality-Initiatives-Patient-Assessment-Instruments/HospitalQualityInits/Measure-Methodology.html</w:t>
        </w:r>
      </w:hyperlink>
      <w:r w:rsidRPr="006E3024">
        <w:rPr>
          <w:color w:val="222222"/>
          <w:sz w:val="18"/>
          <w:szCs w:val="18"/>
        </w:rPr>
        <w:t>.</w:t>
      </w:r>
    </w:p>
  </w:footnote>
  <w:footnote w:id="8">
    <w:p w14:paraId="39AFE630" w14:textId="77777777" w:rsidR="005F72FD" w:rsidRPr="006E3024" w:rsidRDefault="005F72FD">
      <w:pPr>
        <w:spacing w:before="0" w:after="0"/>
        <w:rPr>
          <w:sz w:val="18"/>
          <w:szCs w:val="18"/>
          <w:highlight w:val="white"/>
        </w:rPr>
      </w:pPr>
      <w:r w:rsidRPr="006E3024">
        <w:rPr>
          <w:sz w:val="18"/>
          <w:szCs w:val="18"/>
          <w:vertAlign w:val="superscript"/>
        </w:rPr>
        <w:footnoteRef/>
      </w:r>
      <w:r w:rsidRPr="006E3024">
        <w:rPr>
          <w:sz w:val="18"/>
          <w:szCs w:val="18"/>
          <w:highlight w:val="white"/>
        </w:rPr>
        <w:t xml:space="preserve">The Patient-Mix Adjustment document for the July 2019 Public Report period can be found at: : </w:t>
      </w:r>
      <w:hyperlink r:id="rId3">
        <w:r w:rsidRPr="006E3024">
          <w:rPr>
            <w:color w:val="1155CC"/>
            <w:sz w:val="18"/>
            <w:szCs w:val="18"/>
            <w:highlight w:val="white"/>
            <w:u w:val="single"/>
          </w:rPr>
          <w:t>https://hcahpsonline.org/globalassets/hcahps/mode-patient-mix-adjustment/july_2019_mode--patient-mix-adj_pma.pdf</w:t>
        </w:r>
      </w:hyperlink>
      <w:r w:rsidRPr="006E3024">
        <w:rPr>
          <w:sz w:val="18"/>
          <w:szCs w:val="18"/>
          <w:highlight w:val="white"/>
        </w:rPr>
        <w:t xml:space="preserve">. </w:t>
      </w:r>
      <w:r w:rsidRPr="006E3024">
        <w:rPr>
          <w:sz w:val="18"/>
          <w:szCs w:val="18"/>
        </w:rPr>
        <w:t xml:space="preserve"> </w:t>
      </w:r>
    </w:p>
    <w:p w14:paraId="2C1E91C9" w14:textId="77777777" w:rsidR="005F72FD" w:rsidRPr="006E3024" w:rsidRDefault="005F72FD">
      <w:pPr>
        <w:spacing w:before="0" w:after="0"/>
        <w:rPr>
          <w:sz w:val="18"/>
          <w:szCs w:val="18"/>
          <w:highlight w:val="white"/>
        </w:rPr>
      </w:pPr>
      <w:r w:rsidRPr="006E3024">
        <w:rPr>
          <w:sz w:val="18"/>
          <w:szCs w:val="18"/>
          <w:highlight w:val="white"/>
        </w:rPr>
        <w:t>The HCAHPS PMA model was updated to add Question 28, patient’s self-reported overall mental or emotional health, beginning with July 1, 2018 discharges. The new PMA variable is called Self-Rated Mental Health. In addition, the label for overall health has been changed to “Self-Rated Overall Health.”</w:t>
      </w:r>
    </w:p>
    <w:p w14:paraId="2BCB9766" w14:textId="77777777" w:rsidR="005F72FD" w:rsidRPr="006E3024" w:rsidRDefault="005F72FD">
      <w:pPr>
        <w:spacing w:before="0" w:after="0"/>
        <w:rPr>
          <w:sz w:val="18"/>
          <w:szCs w:val="18"/>
          <w:highlight w:val="white"/>
        </w:rPr>
      </w:pPr>
      <w:r w:rsidRPr="006E3024">
        <w:rPr>
          <w:sz w:val="18"/>
          <w:szCs w:val="18"/>
          <w:highlight w:val="white"/>
        </w:rPr>
        <w:t>Self-Rated Mental Health follows the same linear parameterization as Self-Rated Overall Health: patient responses are coded as 1 (“Excellent”) through 5 (“Poor”). The patient-mix adjustment model will thus include both Self-Rated Overall Health and Self-Rated Mental Health.</w:t>
      </w:r>
    </w:p>
    <w:p w14:paraId="3C7BF38E" w14:textId="77777777" w:rsidR="005F72FD" w:rsidRDefault="005F72FD">
      <w:pPr>
        <w:spacing w:before="0" w:after="0"/>
        <w:rPr>
          <w:sz w:val="20"/>
          <w:szCs w:val="20"/>
        </w:rPr>
      </w:pPr>
    </w:p>
  </w:footnote>
  <w:footnote w:id="9">
    <w:p w14:paraId="7A3B5DB5" w14:textId="77777777" w:rsidR="005F72FD" w:rsidRDefault="005F72FD">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9</w:t>
      </w:r>
      <w:r>
        <w:rPr>
          <w:sz w:val="20"/>
          <w:szCs w:val="20"/>
        </w:rPr>
        <w:t>1 percent</w:t>
      </w:r>
      <w:r>
        <w:rPr>
          <w:color w:val="000000"/>
          <w:sz w:val="20"/>
          <w:szCs w:val="20"/>
        </w:rPr>
        <w:t xml:space="preserve"> of Maryland hospitals perform worse than the nation in ED-1b, </w:t>
      </w:r>
      <w:r>
        <w:rPr>
          <w:sz w:val="20"/>
          <w:szCs w:val="20"/>
        </w:rPr>
        <w:t>77 percent</w:t>
      </w:r>
      <w:r>
        <w:rPr>
          <w:color w:val="000000"/>
          <w:sz w:val="20"/>
          <w:szCs w:val="20"/>
        </w:rPr>
        <w:t xml:space="preserve"> perform worse than the nation in ED-2b, and </w:t>
      </w:r>
      <w:r>
        <w:rPr>
          <w:sz w:val="20"/>
          <w:szCs w:val="20"/>
        </w:rPr>
        <w:t>91 percent</w:t>
      </w:r>
      <w:r>
        <w:rPr>
          <w:color w:val="000000"/>
          <w:sz w:val="20"/>
          <w:szCs w:val="20"/>
        </w:rPr>
        <w:t xml:space="preserve"> perform worse on OB-18b.  The median wait times are adjusted based upon ED volume.  These results are similar to the 8</w:t>
      </w:r>
      <w:r>
        <w:rPr>
          <w:sz w:val="20"/>
          <w:szCs w:val="20"/>
        </w:rPr>
        <w:t>5 percent</w:t>
      </w:r>
      <w:r>
        <w:rPr>
          <w:color w:val="000000"/>
          <w:sz w:val="20"/>
          <w:szCs w:val="20"/>
        </w:rPr>
        <w:t xml:space="preserve"> average reported in RY202</w:t>
      </w:r>
      <w:r>
        <w:rPr>
          <w:sz w:val="20"/>
          <w:szCs w:val="20"/>
        </w:rPr>
        <w:t>1</w:t>
      </w:r>
      <w:r>
        <w:rPr>
          <w:color w:val="000000"/>
          <w:sz w:val="20"/>
          <w:szCs w:val="20"/>
        </w:rPr>
        <w:t xml:space="preserve"> policy.</w:t>
      </w:r>
    </w:p>
  </w:footnote>
  <w:footnote w:id="10">
    <w:p w14:paraId="5286E1C3" w14:textId="77777777" w:rsidR="005F72FD" w:rsidRDefault="005F72FD">
      <w:pPr>
        <w:spacing w:before="0" w:after="0"/>
        <w:rPr>
          <w:sz w:val="20"/>
          <w:szCs w:val="20"/>
        </w:rPr>
      </w:pPr>
      <w:r>
        <w:rPr>
          <w:vertAlign w:val="superscript"/>
        </w:rPr>
        <w:footnoteRef/>
      </w:r>
      <w:r>
        <w:rPr>
          <w:sz w:val="20"/>
          <w:szCs w:val="20"/>
        </w:rPr>
        <w:t xml:space="preserve"> While there are six Healthcare Associated Infection categories, the two SSI colon and hysterectomy categories are combined resulting in five Safety domain measures.</w:t>
      </w:r>
    </w:p>
  </w:footnote>
  <w:footnote w:id="11">
    <w:p w14:paraId="1B8FDD2B" w14:textId="66F4C62B" w:rsidR="005F72FD" w:rsidRDefault="005F72FD">
      <w:pPr>
        <w:spacing w:before="0" w:after="0"/>
        <w:rPr>
          <w:sz w:val="20"/>
          <w:szCs w:val="20"/>
        </w:rPr>
      </w:pPr>
      <w:r>
        <w:rPr>
          <w:vertAlign w:val="superscript"/>
        </w:rPr>
        <w:footnoteRef/>
      </w:r>
      <w:r>
        <w:rPr>
          <w:sz w:val="20"/>
          <w:szCs w:val="20"/>
        </w:rPr>
        <w:t xml:space="preserve"> </w:t>
      </w:r>
      <w:r w:rsidRPr="00093905">
        <w:rPr>
          <w:color w:val="3C4043"/>
          <w:sz w:val="18"/>
          <w:szCs w:val="18"/>
          <w:highlight w:val="white"/>
        </w:rPr>
        <w:t>Two technical changes to the mortality measure are: 1. adding the procedure code for removing ECMO patients previously identified only by DRG (under ICD-10 ECMO patients are now in multiple DRGs); 2. adjusting the process for selecting the included DRGs to ensure all DRGs with same number of observed deaths at the cut-point are include</w:t>
      </w:r>
      <w:r w:rsidRPr="00093905">
        <w:rPr>
          <w:color w:val="3C4043"/>
          <w:sz w:val="18"/>
          <w:szCs w:val="18"/>
        </w:rPr>
        <w:t>d.</w:t>
      </w:r>
    </w:p>
  </w:footnote>
  <w:footnote w:id="12">
    <w:p w14:paraId="7924809A" w14:textId="77777777" w:rsidR="005F72FD" w:rsidRDefault="005F72FD">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42 USC § 1395ww(o)(7).</w:t>
      </w:r>
    </w:p>
  </w:footnote>
  <w:footnote w:id="13">
    <w:p w14:paraId="086686D0" w14:textId="77777777" w:rsidR="005F72FD" w:rsidRDefault="005F72FD">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42 USC § 1395ww(o)(7)(C).</w:t>
      </w:r>
    </w:p>
  </w:footnote>
  <w:footnote w:id="14">
    <w:p w14:paraId="604E9E92" w14:textId="77777777" w:rsidR="005F72FD" w:rsidRDefault="005F72FD">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The HCAHPS increase reduced the Clinical Care domain from 20</w:t>
      </w:r>
      <w:r>
        <w:rPr>
          <w:sz w:val="20"/>
          <w:szCs w:val="20"/>
        </w:rPr>
        <w:t xml:space="preserve"> percent</w:t>
      </w:r>
      <w:r>
        <w:rPr>
          <w:color w:val="000000"/>
          <w:sz w:val="20"/>
          <w:szCs w:val="20"/>
        </w:rPr>
        <w:t xml:space="preserve"> to 15</w:t>
      </w:r>
      <w:r>
        <w:rPr>
          <w:sz w:val="20"/>
          <w:szCs w:val="20"/>
        </w:rPr>
        <w:t xml:space="preserve"> percent</w:t>
      </w:r>
      <w:r>
        <w:rPr>
          <w:color w:val="000000"/>
          <w:sz w:val="20"/>
          <w:szCs w:val="20"/>
        </w:rPr>
        <w:t>.</w:t>
      </w:r>
    </w:p>
  </w:footnote>
  <w:footnote w:id="15">
    <w:p w14:paraId="43262C0B" w14:textId="77777777" w:rsidR="005F72FD" w:rsidRDefault="005F72FD">
      <w:pPr>
        <w:shd w:val="clear" w:color="auto" w:fill="FFFFFF"/>
        <w:spacing w:before="0" w:after="0"/>
        <w:rPr>
          <w:sz w:val="20"/>
          <w:szCs w:val="20"/>
        </w:rPr>
      </w:pPr>
      <w:r>
        <w:rPr>
          <w:vertAlign w:val="superscript"/>
        </w:rPr>
        <w:footnoteRef/>
      </w:r>
      <w:r>
        <w:t xml:space="preserve"> </w:t>
      </w:r>
      <w:r>
        <w:rPr>
          <w:sz w:val="20"/>
          <w:szCs w:val="20"/>
        </w:rPr>
        <w:t xml:space="preserve">Details of CMS VBP measures may be found at: </w:t>
      </w:r>
      <w:hyperlink r:id="rId4">
        <w:r>
          <w:rPr>
            <w:color w:val="1155CC"/>
            <w:sz w:val="20"/>
            <w:szCs w:val="20"/>
            <w:u w:val="single"/>
          </w:rPr>
          <w:t>https://www.cms.gov/Medicare/Quality-Initiatives-Patient-Assessment-Instruments/HospitalQualityInits/Measure-Methodology.html</w:t>
        </w:r>
      </w:hyperlink>
      <w:r>
        <w:rPr>
          <w:sz w:val="20"/>
          <w:szCs w:val="20"/>
        </w:rPr>
        <w:t xml:space="preserve"> ; last accessed 10./28/19.</w:t>
      </w:r>
    </w:p>
  </w:footnote>
  <w:footnote w:id="16">
    <w:p w14:paraId="2A747624" w14:textId="77777777" w:rsidR="005F72FD" w:rsidRDefault="005F72FD">
      <w:pPr>
        <w:spacing w:before="0" w:after="0"/>
        <w:rPr>
          <w:sz w:val="20"/>
          <w:szCs w:val="20"/>
        </w:rPr>
      </w:pPr>
      <w:r>
        <w:rPr>
          <w:vertAlign w:val="superscript"/>
        </w:rPr>
        <w:footnoteRef/>
      </w:r>
      <w:r>
        <w:rPr>
          <w:sz w:val="20"/>
          <w:szCs w:val="20"/>
        </w:rPr>
        <w:t xml:space="preserve"> Scaling refers to the differential allocation of a pre-determined portion of base-regulated hospital inpatient revenue based on assessment of the quality of hospital performance.</w:t>
      </w:r>
    </w:p>
  </w:footnote>
  <w:footnote w:id="17">
    <w:p w14:paraId="50E51C3E" w14:textId="77777777" w:rsidR="005F72FD" w:rsidRDefault="005F72FD">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VBP measure specifications may be found at: </w:t>
      </w:r>
      <w:hyperlink r:id="rId5">
        <w:r>
          <w:rPr>
            <w:color w:val="4F81BD"/>
            <w:sz w:val="20"/>
            <w:szCs w:val="20"/>
            <w:u w:val="single"/>
          </w:rPr>
          <w:t>www.cms.gov/Medicare/Quality-Initiatives-Patient-Assessment-Instruments/HospitalQualityInits/Measure-Methodology.html</w:t>
        </w:r>
      </w:hyperlink>
      <w:r>
        <w:rPr>
          <w:color w:val="000000"/>
          <w:sz w:val="20"/>
          <w:szCs w:val="20"/>
        </w:rPr>
        <w:t xml:space="preserve"> </w:t>
      </w:r>
    </w:p>
  </w:footnote>
  <w:footnote w:id="18">
    <w:p w14:paraId="00795636" w14:textId="77777777" w:rsidR="005F72FD" w:rsidRDefault="005F72FD">
      <w:pPr>
        <w:spacing w:before="0" w:after="0"/>
        <w:rPr>
          <w:sz w:val="20"/>
          <w:szCs w:val="20"/>
        </w:rPr>
      </w:pPr>
      <w:r>
        <w:rPr>
          <w:vertAlign w:val="superscript"/>
        </w:rPr>
        <w:footnoteRef/>
      </w:r>
      <w:r>
        <w:rPr>
          <w:sz w:val="20"/>
          <w:szCs w:val="20"/>
        </w:rPr>
        <w:t xml:space="preserve"> As an exception, for the ED wait time measures, attainment points are not calculated; instead full 10 points are awarded to hospitals at or below (more efficient) than the national medians for their respective volume categories in the performance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B54A3" w14:textId="48F4D6F6" w:rsidR="005F72FD" w:rsidRDefault="005F72FD">
    <w:pPr>
      <w:pBdr>
        <w:top w:val="nil"/>
        <w:left w:val="nil"/>
        <w:bottom w:val="nil"/>
        <w:right w:val="nil"/>
        <w:between w:val="nil"/>
      </w:pBdr>
      <w:jc w:val="center"/>
      <w:rPr>
        <w:rFonts w:ascii="Calibri" w:eastAsia="Calibri" w:hAnsi="Calibri" w:cs="Calibri"/>
        <w:color w:val="5B9BD5"/>
        <w:sz w:val="20"/>
        <w:szCs w:val="20"/>
      </w:rPr>
    </w:pPr>
    <w:r>
      <w:rPr>
        <w:rFonts w:ascii="Calibri" w:eastAsia="Calibri" w:hAnsi="Calibri" w:cs="Calibri"/>
        <w:color w:val="5B9BD5"/>
        <w:sz w:val="20"/>
        <w:szCs w:val="20"/>
      </w:rPr>
      <w:t>RY 2022 Final Recommendation for QBR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37F8F" w14:textId="71695900" w:rsidR="005F72FD" w:rsidRDefault="005F72FD">
    <w:pPr>
      <w:pBdr>
        <w:top w:val="nil"/>
        <w:left w:val="nil"/>
        <w:bottom w:val="nil"/>
        <w:right w:val="nil"/>
        <w:between w:val="nil"/>
      </w:pBdr>
      <w:jc w:val="center"/>
      <w:rPr>
        <w:rFonts w:ascii="Calibri" w:eastAsia="Calibri" w:hAnsi="Calibri" w:cs="Calibri"/>
        <w:color w:val="5B9BD5"/>
        <w:sz w:val="20"/>
        <w:szCs w:val="20"/>
      </w:rPr>
    </w:pPr>
    <w:r>
      <w:rPr>
        <w:rFonts w:ascii="Calibri" w:eastAsia="Calibri" w:hAnsi="Calibri" w:cs="Calibri"/>
        <w:color w:val="5B9BD5"/>
        <w:sz w:val="20"/>
        <w:szCs w:val="20"/>
      </w:rPr>
      <w:t>RY 2022 Final Recommendation for QBR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74AA9"/>
    <w:multiLevelType w:val="multilevel"/>
    <w:tmpl w:val="3D60EBD0"/>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D036AC9"/>
    <w:multiLevelType w:val="multilevel"/>
    <w:tmpl w:val="E13E8D80"/>
    <w:lvl w:ilvl="0">
      <w:start w:val="1"/>
      <w:numFmt w:val="decimal"/>
      <w:lvlText w:val="%1."/>
      <w:lvlJc w:val="right"/>
      <w:pPr>
        <w:ind w:left="720" w:hanging="360"/>
      </w:pPr>
      <w:rPr>
        <w:rFonts w:ascii="Times New Roman" w:eastAsia="Times New Roman" w:hAnsi="Times New Roman" w:cs="Times New Roman"/>
        <w:u w:val="none"/>
        <w:vertAlign w:val="baseline"/>
      </w:rPr>
    </w:lvl>
    <w:lvl w:ilvl="1">
      <w:start w:val="1"/>
      <w:numFmt w:val="upperLetter"/>
      <w:lvlText w:val="%2."/>
      <w:lvlJc w:val="lef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decimal"/>
      <w:lvlText w:val="(%5)"/>
      <w:lvlJc w:val="left"/>
      <w:pPr>
        <w:ind w:left="3600" w:hanging="360"/>
      </w:pPr>
      <w:rPr>
        <w:u w:val="none"/>
        <w:vertAlign w:val="baseline"/>
      </w:rPr>
    </w:lvl>
    <w:lvl w:ilvl="5">
      <w:start w:val="1"/>
      <w:numFmt w:val="lowerLetter"/>
      <w:lvlText w:val="(%6)"/>
      <w:lvlJc w:val="left"/>
      <w:pPr>
        <w:ind w:left="4320" w:hanging="360"/>
      </w:pPr>
      <w:rPr>
        <w:u w:val="none"/>
        <w:vertAlign w:val="baseline"/>
      </w:rPr>
    </w:lvl>
    <w:lvl w:ilvl="6">
      <w:start w:val="1"/>
      <w:numFmt w:val="lowerRoman"/>
      <w:lvlText w:val="(%7)"/>
      <w:lvlJc w:val="righ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12171F6C"/>
    <w:multiLevelType w:val="multilevel"/>
    <w:tmpl w:val="E13E8D80"/>
    <w:lvl w:ilvl="0">
      <w:start w:val="1"/>
      <w:numFmt w:val="decimal"/>
      <w:lvlText w:val="%1."/>
      <w:lvlJc w:val="right"/>
      <w:pPr>
        <w:ind w:left="720" w:hanging="360"/>
      </w:pPr>
      <w:rPr>
        <w:rFonts w:ascii="Times New Roman" w:eastAsia="Times New Roman" w:hAnsi="Times New Roman" w:cs="Times New Roman"/>
        <w:u w:val="none"/>
        <w:vertAlign w:val="baseline"/>
      </w:rPr>
    </w:lvl>
    <w:lvl w:ilvl="1">
      <w:start w:val="1"/>
      <w:numFmt w:val="upperLetter"/>
      <w:lvlText w:val="%2."/>
      <w:lvlJc w:val="lef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decimal"/>
      <w:lvlText w:val="(%5)"/>
      <w:lvlJc w:val="left"/>
      <w:pPr>
        <w:ind w:left="3600" w:hanging="360"/>
      </w:pPr>
      <w:rPr>
        <w:u w:val="none"/>
        <w:vertAlign w:val="baseline"/>
      </w:rPr>
    </w:lvl>
    <w:lvl w:ilvl="5">
      <w:start w:val="1"/>
      <w:numFmt w:val="lowerLetter"/>
      <w:lvlText w:val="(%6)"/>
      <w:lvlJc w:val="left"/>
      <w:pPr>
        <w:ind w:left="4320" w:hanging="360"/>
      </w:pPr>
      <w:rPr>
        <w:u w:val="none"/>
        <w:vertAlign w:val="baseline"/>
      </w:rPr>
    </w:lvl>
    <w:lvl w:ilvl="6">
      <w:start w:val="1"/>
      <w:numFmt w:val="lowerRoman"/>
      <w:lvlText w:val="(%7)"/>
      <w:lvlJc w:val="righ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 w15:restartNumberingAfterBreak="0">
    <w:nsid w:val="14540AA1"/>
    <w:multiLevelType w:val="hybridMultilevel"/>
    <w:tmpl w:val="FACAC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E6CA5"/>
    <w:multiLevelType w:val="multilevel"/>
    <w:tmpl w:val="7062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FB7FE9"/>
    <w:multiLevelType w:val="multilevel"/>
    <w:tmpl w:val="0EDA1ED0"/>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0B66FB2"/>
    <w:multiLevelType w:val="hybridMultilevel"/>
    <w:tmpl w:val="93D84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5743B7"/>
    <w:multiLevelType w:val="multilevel"/>
    <w:tmpl w:val="0A7EF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55F6D36"/>
    <w:multiLevelType w:val="multilevel"/>
    <w:tmpl w:val="E13E8D80"/>
    <w:lvl w:ilvl="0">
      <w:start w:val="1"/>
      <w:numFmt w:val="decimal"/>
      <w:lvlText w:val="%1."/>
      <w:lvlJc w:val="right"/>
      <w:pPr>
        <w:ind w:left="720" w:hanging="360"/>
      </w:pPr>
      <w:rPr>
        <w:rFonts w:ascii="Times New Roman" w:eastAsia="Times New Roman" w:hAnsi="Times New Roman" w:cs="Times New Roman"/>
        <w:u w:val="none"/>
        <w:vertAlign w:val="baseline"/>
      </w:rPr>
    </w:lvl>
    <w:lvl w:ilvl="1">
      <w:start w:val="1"/>
      <w:numFmt w:val="upperLetter"/>
      <w:lvlText w:val="%2."/>
      <w:lvlJc w:val="left"/>
      <w:pPr>
        <w:ind w:left="1440" w:hanging="360"/>
      </w:pPr>
      <w:rPr>
        <w:u w:val="none"/>
        <w:vertAlign w:val="baseline"/>
      </w:rPr>
    </w:lvl>
    <w:lvl w:ilvl="2">
      <w:start w:val="1"/>
      <w:numFmt w:val="decimal"/>
      <w:lvlText w:val="%3."/>
      <w:lvlJc w:val="left"/>
      <w:pPr>
        <w:ind w:left="2160" w:hanging="360"/>
      </w:pPr>
      <w:rPr>
        <w:u w:val="none"/>
        <w:vertAlign w:val="baseline"/>
      </w:rPr>
    </w:lvl>
    <w:lvl w:ilvl="3">
      <w:start w:val="1"/>
      <w:numFmt w:val="lowerLetter"/>
      <w:lvlText w:val="%4)"/>
      <w:lvlJc w:val="left"/>
      <w:pPr>
        <w:ind w:left="2880" w:hanging="360"/>
      </w:pPr>
      <w:rPr>
        <w:u w:val="none"/>
        <w:vertAlign w:val="baseline"/>
      </w:rPr>
    </w:lvl>
    <w:lvl w:ilvl="4">
      <w:start w:val="1"/>
      <w:numFmt w:val="decimal"/>
      <w:lvlText w:val="(%5)"/>
      <w:lvlJc w:val="left"/>
      <w:pPr>
        <w:ind w:left="3600" w:hanging="360"/>
      </w:pPr>
      <w:rPr>
        <w:u w:val="none"/>
        <w:vertAlign w:val="baseline"/>
      </w:rPr>
    </w:lvl>
    <w:lvl w:ilvl="5">
      <w:start w:val="1"/>
      <w:numFmt w:val="lowerLetter"/>
      <w:lvlText w:val="(%6)"/>
      <w:lvlJc w:val="left"/>
      <w:pPr>
        <w:ind w:left="4320" w:hanging="360"/>
      </w:pPr>
      <w:rPr>
        <w:u w:val="none"/>
        <w:vertAlign w:val="baseline"/>
      </w:rPr>
    </w:lvl>
    <w:lvl w:ilvl="6">
      <w:start w:val="1"/>
      <w:numFmt w:val="lowerRoman"/>
      <w:lvlText w:val="(%7)"/>
      <w:lvlJc w:val="righ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9" w15:restartNumberingAfterBreak="0">
    <w:nsid w:val="57AC1EF1"/>
    <w:multiLevelType w:val="hybridMultilevel"/>
    <w:tmpl w:val="72C0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612D0"/>
    <w:multiLevelType w:val="multilevel"/>
    <w:tmpl w:val="8F22A9BE"/>
    <w:lvl w:ilvl="0">
      <w:start w:val="1"/>
      <w:numFmt w:val="bullet"/>
      <w:lvlText w:val=""/>
      <w:lvlJc w:val="left"/>
      <w:pPr>
        <w:ind w:left="360" w:hanging="360"/>
      </w:pPr>
      <w:rPr>
        <w:rFonts w:ascii="Symbol" w:hAnsi="Symbo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A4B26D8"/>
    <w:multiLevelType w:val="multilevel"/>
    <w:tmpl w:val="E0D87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425E44"/>
    <w:multiLevelType w:val="hybridMultilevel"/>
    <w:tmpl w:val="16C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957A54"/>
    <w:multiLevelType w:val="multilevel"/>
    <w:tmpl w:val="5E1CC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0"/>
  </w:num>
  <w:num w:numId="3">
    <w:abstractNumId w:val="0"/>
  </w:num>
  <w:num w:numId="4">
    <w:abstractNumId w:val="5"/>
  </w:num>
  <w:num w:numId="5">
    <w:abstractNumId w:val="11"/>
  </w:num>
  <w:num w:numId="6">
    <w:abstractNumId w:val="7"/>
  </w:num>
  <w:num w:numId="7">
    <w:abstractNumId w:val="13"/>
  </w:num>
  <w:num w:numId="8">
    <w:abstractNumId w:val="1"/>
  </w:num>
  <w:num w:numId="9">
    <w:abstractNumId w:val="12"/>
  </w:num>
  <w:num w:numId="10">
    <w:abstractNumId w:val="8"/>
  </w:num>
  <w:num w:numId="11">
    <w:abstractNumId w:val="9"/>
  </w:num>
  <w:num w:numId="12">
    <w:abstractNumId w:val="3"/>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A10"/>
    <w:rsid w:val="00030A10"/>
    <w:rsid w:val="00047D2E"/>
    <w:rsid w:val="000528A6"/>
    <w:rsid w:val="00093905"/>
    <w:rsid w:val="000C5C0A"/>
    <w:rsid w:val="00140A36"/>
    <w:rsid w:val="001506E1"/>
    <w:rsid w:val="0016079F"/>
    <w:rsid w:val="0017041E"/>
    <w:rsid w:val="00172F8D"/>
    <w:rsid w:val="0018220E"/>
    <w:rsid w:val="001A3961"/>
    <w:rsid w:val="001B1684"/>
    <w:rsid w:val="001E2681"/>
    <w:rsid w:val="00204994"/>
    <w:rsid w:val="00215C2A"/>
    <w:rsid w:val="002263B5"/>
    <w:rsid w:val="002D4DC2"/>
    <w:rsid w:val="00316440"/>
    <w:rsid w:val="00321DD4"/>
    <w:rsid w:val="003263F4"/>
    <w:rsid w:val="0032691F"/>
    <w:rsid w:val="00351806"/>
    <w:rsid w:val="00355A3E"/>
    <w:rsid w:val="00396633"/>
    <w:rsid w:val="004233F5"/>
    <w:rsid w:val="0042517A"/>
    <w:rsid w:val="00435935"/>
    <w:rsid w:val="00463E29"/>
    <w:rsid w:val="004669BD"/>
    <w:rsid w:val="004770D9"/>
    <w:rsid w:val="00490872"/>
    <w:rsid w:val="00494ACB"/>
    <w:rsid w:val="004B0C25"/>
    <w:rsid w:val="004B3BD3"/>
    <w:rsid w:val="004C3935"/>
    <w:rsid w:val="00502348"/>
    <w:rsid w:val="00556411"/>
    <w:rsid w:val="00595FEA"/>
    <w:rsid w:val="005A6A9D"/>
    <w:rsid w:val="005E54A8"/>
    <w:rsid w:val="005F72FD"/>
    <w:rsid w:val="00627AF1"/>
    <w:rsid w:val="006556BD"/>
    <w:rsid w:val="00660BFF"/>
    <w:rsid w:val="006A0938"/>
    <w:rsid w:val="006D3F64"/>
    <w:rsid w:val="006E3024"/>
    <w:rsid w:val="007223C8"/>
    <w:rsid w:val="00730E6B"/>
    <w:rsid w:val="00735AB2"/>
    <w:rsid w:val="007535B3"/>
    <w:rsid w:val="00765B8E"/>
    <w:rsid w:val="00780DE2"/>
    <w:rsid w:val="007B1728"/>
    <w:rsid w:val="007D097E"/>
    <w:rsid w:val="007F6533"/>
    <w:rsid w:val="008051BB"/>
    <w:rsid w:val="00830ED1"/>
    <w:rsid w:val="00845BEF"/>
    <w:rsid w:val="0086491A"/>
    <w:rsid w:val="00870779"/>
    <w:rsid w:val="00871D6F"/>
    <w:rsid w:val="008746E4"/>
    <w:rsid w:val="00905594"/>
    <w:rsid w:val="009224F2"/>
    <w:rsid w:val="00942BFF"/>
    <w:rsid w:val="0094711A"/>
    <w:rsid w:val="00986DD1"/>
    <w:rsid w:val="009A407D"/>
    <w:rsid w:val="009E10C0"/>
    <w:rsid w:val="00A31526"/>
    <w:rsid w:val="00A56235"/>
    <w:rsid w:val="00A91406"/>
    <w:rsid w:val="00A9462A"/>
    <w:rsid w:val="00A94968"/>
    <w:rsid w:val="00AA234D"/>
    <w:rsid w:val="00AD0FC0"/>
    <w:rsid w:val="00AD49E5"/>
    <w:rsid w:val="00AF4979"/>
    <w:rsid w:val="00B22D95"/>
    <w:rsid w:val="00B76537"/>
    <w:rsid w:val="00BE3BF5"/>
    <w:rsid w:val="00C002FD"/>
    <w:rsid w:val="00C40D3D"/>
    <w:rsid w:val="00C423AC"/>
    <w:rsid w:val="00CA778D"/>
    <w:rsid w:val="00CF779E"/>
    <w:rsid w:val="00D22AE2"/>
    <w:rsid w:val="00D63450"/>
    <w:rsid w:val="00D85FD0"/>
    <w:rsid w:val="00D873A6"/>
    <w:rsid w:val="00DC3B77"/>
    <w:rsid w:val="00DD1B04"/>
    <w:rsid w:val="00DE3D45"/>
    <w:rsid w:val="00E10A90"/>
    <w:rsid w:val="00E17B10"/>
    <w:rsid w:val="00E3538B"/>
    <w:rsid w:val="00E62C33"/>
    <w:rsid w:val="00E924AF"/>
    <w:rsid w:val="00F01F66"/>
    <w:rsid w:val="00F03660"/>
    <w:rsid w:val="00F427A8"/>
    <w:rsid w:val="00F60C86"/>
    <w:rsid w:val="00FA55DD"/>
    <w:rsid w:val="00FA587C"/>
    <w:rsid w:val="00FF3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BF0B2"/>
  <w15:docId w15:val="{E9B04C46-0498-4C48-A5BF-FA32820C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spacing w:before="240"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Calibri" w:eastAsia="Calibri" w:hAnsi="Calibri" w:cs="Calibri"/>
      <w:b/>
      <w:smallCaps/>
      <w:color w:val="1F497D"/>
      <w:sz w:val="28"/>
      <w:szCs w:val="28"/>
    </w:rPr>
  </w:style>
  <w:style w:type="paragraph" w:styleId="Heading2">
    <w:name w:val="heading 2"/>
    <w:basedOn w:val="Normal"/>
    <w:next w:val="Normal"/>
    <w:pPr>
      <w:keepNext/>
      <w:outlineLvl w:val="1"/>
    </w:pPr>
    <w:rPr>
      <w:rFonts w:ascii="Calibri" w:eastAsia="Calibri" w:hAnsi="Calibri" w:cs="Calibri"/>
      <w:b/>
      <w:color w:val="4F81BD"/>
      <w:sz w:val="28"/>
      <w:szCs w:val="28"/>
    </w:rPr>
  </w:style>
  <w:style w:type="paragraph" w:styleId="Heading3">
    <w:name w:val="heading 3"/>
    <w:basedOn w:val="Normal"/>
    <w:next w:val="Normal"/>
    <w:pPr>
      <w:keepNext/>
      <w:outlineLvl w:val="2"/>
    </w:pPr>
    <w:rPr>
      <w:rFonts w:ascii="Candara" w:eastAsia="Candara" w:hAnsi="Candara" w:cs="Candara"/>
      <w:b/>
      <w:i/>
      <w:color w:val="4F81BD"/>
    </w:rPr>
  </w:style>
  <w:style w:type="paragraph" w:styleId="Heading4">
    <w:name w:val="heading 4"/>
    <w:basedOn w:val="Normal"/>
    <w:next w:val="Normal"/>
    <w:pPr>
      <w:keepNext/>
      <w:outlineLvl w:val="3"/>
    </w:pPr>
    <w:rPr>
      <w:rFonts w:ascii="Candara" w:eastAsia="Candara" w:hAnsi="Candara" w:cs="Candara"/>
      <w:b/>
      <w:i/>
    </w:rPr>
  </w:style>
  <w:style w:type="paragraph" w:styleId="Heading5">
    <w:name w:val="heading 5"/>
    <w:basedOn w:val="Normal"/>
    <w:next w:val="Normal"/>
    <w:pPr>
      <w:keepNext/>
      <w:ind w:left="360"/>
      <w:outlineLvl w:val="4"/>
    </w:pPr>
    <w:rPr>
      <w:rFonts w:ascii="Candara" w:eastAsia="Candara" w:hAnsi="Candara" w:cs="Candara"/>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5641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411"/>
    <w:rPr>
      <w:rFonts w:ascii="Segoe UI" w:hAnsi="Segoe UI" w:cs="Segoe UI"/>
      <w:sz w:val="18"/>
      <w:szCs w:val="18"/>
    </w:rPr>
  </w:style>
  <w:style w:type="paragraph" w:styleId="TOC1">
    <w:name w:val="toc 1"/>
    <w:basedOn w:val="Normal"/>
    <w:next w:val="Normal"/>
    <w:autoRedefine/>
    <w:uiPriority w:val="39"/>
    <w:unhideWhenUsed/>
    <w:rsid w:val="001B1684"/>
    <w:pPr>
      <w:tabs>
        <w:tab w:val="right" w:leader="dot" w:pos="9350"/>
      </w:tabs>
      <w:spacing w:before="120" w:after="0"/>
    </w:pPr>
  </w:style>
  <w:style w:type="paragraph" w:styleId="TOC2">
    <w:name w:val="toc 2"/>
    <w:basedOn w:val="Normal"/>
    <w:next w:val="Normal"/>
    <w:autoRedefine/>
    <w:uiPriority w:val="39"/>
    <w:unhideWhenUsed/>
    <w:rsid w:val="00556411"/>
    <w:pPr>
      <w:spacing w:after="100"/>
      <w:ind w:left="240"/>
    </w:pPr>
  </w:style>
  <w:style w:type="paragraph" w:styleId="TOC3">
    <w:name w:val="toc 3"/>
    <w:basedOn w:val="Normal"/>
    <w:next w:val="Normal"/>
    <w:autoRedefine/>
    <w:uiPriority w:val="39"/>
    <w:unhideWhenUsed/>
    <w:rsid w:val="00556411"/>
    <w:pPr>
      <w:spacing w:after="100"/>
      <w:ind w:left="480"/>
    </w:pPr>
  </w:style>
  <w:style w:type="paragraph" w:styleId="TOC4">
    <w:name w:val="toc 4"/>
    <w:basedOn w:val="Normal"/>
    <w:next w:val="Normal"/>
    <w:autoRedefine/>
    <w:uiPriority w:val="39"/>
    <w:unhideWhenUsed/>
    <w:rsid w:val="00556411"/>
    <w:pPr>
      <w:spacing w:after="100"/>
      <w:ind w:left="720"/>
    </w:pPr>
  </w:style>
  <w:style w:type="character" w:styleId="Hyperlink">
    <w:name w:val="Hyperlink"/>
    <w:basedOn w:val="DefaultParagraphFont"/>
    <w:uiPriority w:val="99"/>
    <w:unhideWhenUsed/>
    <w:rsid w:val="00556411"/>
    <w:rPr>
      <w:color w:val="0000FF" w:themeColor="hyperlink"/>
      <w:u w:val="single"/>
    </w:rPr>
  </w:style>
  <w:style w:type="paragraph" w:styleId="ListParagraph">
    <w:name w:val="List Paragraph"/>
    <w:basedOn w:val="Normal"/>
    <w:uiPriority w:val="34"/>
    <w:qFormat/>
    <w:rsid w:val="00556411"/>
    <w:pPr>
      <w:ind w:left="720"/>
      <w:contextualSpacing/>
    </w:pPr>
  </w:style>
  <w:style w:type="paragraph" w:styleId="TOCHeading">
    <w:name w:val="TOC Heading"/>
    <w:basedOn w:val="Heading1"/>
    <w:next w:val="Normal"/>
    <w:uiPriority w:val="39"/>
    <w:unhideWhenUsed/>
    <w:qFormat/>
    <w:rsid w:val="007D097E"/>
    <w:pPr>
      <w:keepLines/>
      <w:spacing w:after="0" w:line="259" w:lineRule="auto"/>
      <w:outlineLvl w:val="9"/>
    </w:pPr>
    <w:rPr>
      <w:rFonts w:asciiTheme="majorHAnsi" w:eastAsiaTheme="majorEastAsia" w:hAnsiTheme="majorHAnsi" w:cstheme="majorBidi"/>
      <w:b w:val="0"/>
      <w:smallCaps w:val="0"/>
      <w:color w:val="365F91" w:themeColor="accent1" w:themeShade="BF"/>
      <w:sz w:val="32"/>
      <w:szCs w:val="32"/>
    </w:rPr>
  </w:style>
  <w:style w:type="paragraph" w:styleId="Header">
    <w:name w:val="header"/>
    <w:basedOn w:val="Normal"/>
    <w:link w:val="HeaderChar"/>
    <w:uiPriority w:val="99"/>
    <w:unhideWhenUsed/>
    <w:rsid w:val="00B22D95"/>
    <w:pPr>
      <w:tabs>
        <w:tab w:val="center" w:pos="4680"/>
        <w:tab w:val="right" w:pos="9360"/>
      </w:tabs>
      <w:spacing w:before="0" w:after="0"/>
    </w:pPr>
  </w:style>
  <w:style w:type="character" w:customStyle="1" w:styleId="HeaderChar">
    <w:name w:val="Header Char"/>
    <w:basedOn w:val="DefaultParagraphFont"/>
    <w:link w:val="Header"/>
    <w:uiPriority w:val="99"/>
    <w:rsid w:val="00B22D95"/>
  </w:style>
  <w:style w:type="paragraph" w:styleId="Footer">
    <w:name w:val="footer"/>
    <w:basedOn w:val="Normal"/>
    <w:link w:val="FooterChar"/>
    <w:uiPriority w:val="99"/>
    <w:unhideWhenUsed/>
    <w:rsid w:val="00B22D95"/>
    <w:pPr>
      <w:tabs>
        <w:tab w:val="center" w:pos="4680"/>
        <w:tab w:val="right" w:pos="9360"/>
      </w:tabs>
      <w:spacing w:before="0" w:after="0"/>
    </w:pPr>
  </w:style>
  <w:style w:type="character" w:customStyle="1" w:styleId="FooterChar">
    <w:name w:val="Footer Char"/>
    <w:basedOn w:val="DefaultParagraphFont"/>
    <w:link w:val="Footer"/>
    <w:uiPriority w:val="99"/>
    <w:rsid w:val="00B22D95"/>
  </w:style>
  <w:style w:type="table" w:styleId="TableGrid">
    <w:name w:val="Table Grid"/>
    <w:basedOn w:val="TableNormal"/>
    <w:uiPriority w:val="39"/>
    <w:rsid w:val="00830ED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62C33"/>
    <w:pPr>
      <w:spacing w:before="0" w:after="0"/>
    </w:pPr>
    <w:rPr>
      <w:sz w:val="20"/>
      <w:szCs w:val="20"/>
    </w:rPr>
  </w:style>
  <w:style w:type="character" w:customStyle="1" w:styleId="FootnoteTextChar">
    <w:name w:val="Footnote Text Char"/>
    <w:basedOn w:val="DefaultParagraphFont"/>
    <w:link w:val="FootnoteText"/>
    <w:uiPriority w:val="99"/>
    <w:semiHidden/>
    <w:rsid w:val="00E62C33"/>
    <w:rPr>
      <w:sz w:val="20"/>
      <w:szCs w:val="20"/>
    </w:rPr>
  </w:style>
  <w:style w:type="character" w:styleId="FootnoteReference">
    <w:name w:val="footnote reference"/>
    <w:basedOn w:val="DefaultParagraphFont"/>
    <w:uiPriority w:val="99"/>
    <w:semiHidden/>
    <w:unhideWhenUsed/>
    <w:rsid w:val="00E62C33"/>
    <w:rPr>
      <w:vertAlign w:val="superscript"/>
    </w:rPr>
  </w:style>
  <w:style w:type="paragraph" w:styleId="CommentSubject">
    <w:name w:val="annotation subject"/>
    <w:basedOn w:val="CommentText"/>
    <w:next w:val="CommentText"/>
    <w:link w:val="CommentSubjectChar"/>
    <w:uiPriority w:val="99"/>
    <w:semiHidden/>
    <w:unhideWhenUsed/>
    <w:rsid w:val="00845BEF"/>
    <w:rPr>
      <w:b/>
      <w:bCs/>
    </w:rPr>
  </w:style>
  <w:style w:type="character" w:customStyle="1" w:styleId="CommentSubjectChar">
    <w:name w:val="Comment Subject Char"/>
    <w:basedOn w:val="CommentTextChar"/>
    <w:link w:val="CommentSubject"/>
    <w:uiPriority w:val="99"/>
    <w:semiHidden/>
    <w:rsid w:val="00845BEF"/>
    <w:rPr>
      <w:b/>
      <w:bCs/>
      <w:sz w:val="20"/>
      <w:szCs w:val="20"/>
    </w:rPr>
  </w:style>
  <w:style w:type="character" w:styleId="Emphasis">
    <w:name w:val="Emphasis"/>
    <w:basedOn w:val="DefaultParagraphFont"/>
    <w:uiPriority w:val="20"/>
    <w:qFormat/>
    <w:rsid w:val="00DC3B77"/>
    <w:rPr>
      <w:i/>
      <w:iCs/>
    </w:rPr>
  </w:style>
  <w:style w:type="paragraph" w:customStyle="1" w:styleId="Default">
    <w:name w:val="Default"/>
    <w:rsid w:val="00047D2E"/>
    <w:pPr>
      <w:autoSpaceDE w:val="0"/>
      <w:autoSpaceDN w:val="0"/>
      <w:adjustRightInd w:val="0"/>
      <w:spacing w:before="0" w:after="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6138">
      <w:bodyDiv w:val="1"/>
      <w:marLeft w:val="0"/>
      <w:marRight w:val="0"/>
      <w:marTop w:val="0"/>
      <w:marBottom w:val="0"/>
      <w:divBdr>
        <w:top w:val="none" w:sz="0" w:space="0" w:color="auto"/>
        <w:left w:val="none" w:sz="0" w:space="0" w:color="auto"/>
        <w:bottom w:val="none" w:sz="0" w:space="0" w:color="auto"/>
        <w:right w:val="none" w:sz="0" w:space="0" w:color="auto"/>
      </w:divBdr>
    </w:div>
    <w:div w:id="110588749">
      <w:bodyDiv w:val="1"/>
      <w:marLeft w:val="0"/>
      <w:marRight w:val="0"/>
      <w:marTop w:val="0"/>
      <w:marBottom w:val="0"/>
      <w:divBdr>
        <w:top w:val="none" w:sz="0" w:space="0" w:color="auto"/>
        <w:left w:val="none" w:sz="0" w:space="0" w:color="auto"/>
        <w:bottom w:val="none" w:sz="0" w:space="0" w:color="auto"/>
        <w:right w:val="none" w:sz="0" w:space="0" w:color="auto"/>
      </w:divBdr>
    </w:div>
    <w:div w:id="1123815616">
      <w:bodyDiv w:val="1"/>
      <w:marLeft w:val="0"/>
      <w:marRight w:val="0"/>
      <w:marTop w:val="0"/>
      <w:marBottom w:val="0"/>
      <w:divBdr>
        <w:top w:val="none" w:sz="0" w:space="0" w:color="auto"/>
        <w:left w:val="none" w:sz="0" w:space="0" w:color="auto"/>
        <w:bottom w:val="none" w:sz="0" w:space="0" w:color="auto"/>
        <w:right w:val="none" w:sz="0" w:space="0" w:color="auto"/>
      </w:divBdr>
    </w:div>
    <w:div w:id="1226182228">
      <w:bodyDiv w:val="1"/>
      <w:marLeft w:val="0"/>
      <w:marRight w:val="0"/>
      <w:marTop w:val="0"/>
      <w:marBottom w:val="0"/>
      <w:divBdr>
        <w:top w:val="none" w:sz="0" w:space="0" w:color="auto"/>
        <w:left w:val="none" w:sz="0" w:space="0" w:color="auto"/>
        <w:bottom w:val="none" w:sz="0" w:space="0" w:color="auto"/>
        <w:right w:val="none" w:sz="0" w:space="0" w:color="auto"/>
      </w:divBdr>
    </w:div>
    <w:div w:id="1524779979">
      <w:bodyDiv w:val="1"/>
      <w:marLeft w:val="0"/>
      <w:marRight w:val="0"/>
      <w:marTop w:val="0"/>
      <w:marBottom w:val="0"/>
      <w:divBdr>
        <w:top w:val="none" w:sz="0" w:space="0" w:color="auto"/>
        <w:left w:val="none" w:sz="0" w:space="0" w:color="auto"/>
        <w:bottom w:val="none" w:sz="0" w:space="0" w:color="auto"/>
        <w:right w:val="none" w:sz="0" w:space="0" w:color="auto"/>
      </w:divBdr>
    </w:div>
    <w:div w:id="1591505486">
      <w:bodyDiv w:val="1"/>
      <w:marLeft w:val="0"/>
      <w:marRight w:val="0"/>
      <w:marTop w:val="0"/>
      <w:marBottom w:val="0"/>
      <w:divBdr>
        <w:top w:val="none" w:sz="0" w:space="0" w:color="auto"/>
        <w:left w:val="none" w:sz="0" w:space="0" w:color="auto"/>
        <w:bottom w:val="none" w:sz="0" w:space="0" w:color="auto"/>
        <w:right w:val="none" w:sz="0" w:space="0" w:color="auto"/>
      </w:divBdr>
    </w:div>
    <w:div w:id="1959725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4.xml"/><Relationship Id="rId30"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hcahpsonline.org/globalassets/hcahps/mode-patient-mix-adjustment/july_2019_mode--patient-mix-adj_pma.pdf" TargetMode="External"/><Relationship Id="rId2" Type="http://schemas.openxmlformats.org/officeDocument/2006/relationships/hyperlink" Target="https://www.cms.gov/Medicare/Quality-Initiatives-Patient-Assessment-Instruments/HospitalQualityInits/Measure-Methodology.html" TargetMode="External"/><Relationship Id="rId1" Type="http://schemas.openxmlformats.org/officeDocument/2006/relationships/hyperlink" Target="https://www.cms.gov/Medicare/Quality-Initiatives-Patient-Assessment-Instruments/Value-Based-Programs/HVBP/Hospital-Value-Based-Purchasing.html," TargetMode="External"/><Relationship Id="rId5" Type="http://schemas.openxmlformats.org/officeDocument/2006/relationships/hyperlink" Target="http://www.cms.gov/Medicare/Quality-Initiatives-Patient-Assessment-Instruments/HospitalQualityInits/Measure-Methodology.html" TargetMode="External"/><Relationship Id="rId4" Type="http://schemas.openxmlformats.org/officeDocument/2006/relationships/hyperlink" Target="https://www.cms.gov/Medicare/Quality-Initiatives-Patient-Assessment-Instruments/HospitalQualityInits/Measure-Method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F00A06-E5E3-4181-A25D-91C785DD7A38}"/>
</file>

<file path=customXml/itemProps2.xml><?xml version="1.0" encoding="utf-8"?>
<ds:datastoreItem xmlns:ds="http://schemas.openxmlformats.org/officeDocument/2006/customXml" ds:itemID="{D90EAE53-5FAC-4074-8A5C-86D64B4A21EC}"/>
</file>

<file path=customXml/itemProps3.xml><?xml version="1.0" encoding="utf-8"?>
<ds:datastoreItem xmlns:ds="http://schemas.openxmlformats.org/officeDocument/2006/customXml" ds:itemID="{5C514085-FEA1-4382-8D85-6AEF581224EF}"/>
</file>

<file path=customXml/itemProps4.xml><?xml version="1.0" encoding="utf-8"?>
<ds:datastoreItem xmlns:ds="http://schemas.openxmlformats.org/officeDocument/2006/customXml" ds:itemID="{1DE869E3-C7BC-4857-B984-305BBB284E30}"/>
</file>

<file path=docProps/app.xml><?xml version="1.0" encoding="utf-8"?>
<Properties xmlns="http://schemas.openxmlformats.org/officeDocument/2006/extended-properties" xmlns:vt="http://schemas.openxmlformats.org/officeDocument/2006/docPropsVTypes">
  <Template>Normal</Template>
  <TotalTime>0</TotalTime>
  <Pages>37</Pages>
  <Words>8760</Words>
  <Characters>49933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Dianne Feeney</dc:creator>
  <cp:lastModifiedBy>Dianne Feeney</cp:lastModifiedBy>
  <cp:revision>2</cp:revision>
  <dcterms:created xsi:type="dcterms:W3CDTF">2019-12-17T17:57:00Z</dcterms:created>
  <dcterms:modified xsi:type="dcterms:W3CDTF">2019-12-17T17:57:00Z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